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D4668">
      <w:pPr>
        <w:autoSpaceDE w:val="0"/>
        <w:autoSpaceDN w:val="0"/>
        <w:spacing w:line="500" w:lineRule="atLeast"/>
        <w:textAlignment w:val="bottom"/>
        <w:rPr>
          <w:rFonts w:hint="eastAsia" w:ascii="新宋体" w:hAnsi="新宋体" w:eastAsia="新宋体" w:cs="新宋体"/>
          <w:b/>
          <w:bCs/>
          <w:color w:val="auto"/>
          <w:spacing w:val="120"/>
          <w:sz w:val="72"/>
          <w:szCs w:val="72"/>
          <w:highlight w:val="none"/>
        </w:rPr>
      </w:pPr>
    </w:p>
    <w:p w14:paraId="1702C0A0">
      <w:pPr>
        <w:autoSpaceDE w:val="0"/>
        <w:autoSpaceDN w:val="0"/>
        <w:spacing w:line="500" w:lineRule="atLeast"/>
        <w:jc w:val="center"/>
        <w:textAlignment w:val="bottom"/>
        <w:rPr>
          <w:rFonts w:hint="eastAsia" w:ascii="新宋体" w:hAnsi="新宋体" w:eastAsia="新宋体" w:cs="新宋体"/>
          <w:bCs/>
          <w:color w:val="auto"/>
          <w:sz w:val="84"/>
          <w:szCs w:val="84"/>
          <w:highlight w:val="none"/>
        </w:rPr>
      </w:pPr>
      <w:r>
        <w:rPr>
          <w:rFonts w:hint="eastAsia" w:ascii="新宋体" w:hAnsi="新宋体" w:eastAsia="新宋体" w:cs="新宋体"/>
          <w:b/>
          <w:bCs/>
          <w:color w:val="auto"/>
          <w:spacing w:val="120"/>
          <w:sz w:val="84"/>
          <w:szCs w:val="84"/>
          <w:highlight w:val="none"/>
        </w:rPr>
        <w:t>温州市国有企业</w:t>
      </w:r>
    </w:p>
    <w:p w14:paraId="5FA4807B">
      <w:pPr>
        <w:spacing w:line="400" w:lineRule="atLeast"/>
        <w:jc w:val="center"/>
        <w:rPr>
          <w:rFonts w:hint="eastAsia" w:ascii="新宋体" w:hAnsi="新宋体" w:eastAsia="新宋体" w:cs="新宋体"/>
          <w:b/>
          <w:color w:val="auto"/>
          <w:sz w:val="52"/>
          <w:highlight w:val="none"/>
        </w:rPr>
      </w:pPr>
    </w:p>
    <w:p w14:paraId="280F893D">
      <w:pPr>
        <w:spacing w:line="400" w:lineRule="atLeast"/>
        <w:jc w:val="center"/>
        <w:rPr>
          <w:rFonts w:hint="eastAsia" w:ascii="新宋体" w:hAnsi="新宋体" w:eastAsia="新宋体" w:cs="新宋体"/>
          <w:b/>
          <w:color w:val="auto"/>
          <w:sz w:val="52"/>
          <w:highlight w:val="none"/>
        </w:rPr>
      </w:pPr>
    </w:p>
    <w:p w14:paraId="7710A2B4">
      <w:pPr>
        <w:spacing w:line="400" w:lineRule="atLeast"/>
        <w:jc w:val="center"/>
        <w:rPr>
          <w:rFonts w:hint="eastAsia" w:ascii="新宋体" w:hAnsi="新宋体" w:eastAsia="新宋体" w:cs="新宋体"/>
          <w:b/>
          <w:color w:val="auto"/>
          <w:sz w:val="52"/>
          <w:highlight w:val="none"/>
        </w:rPr>
      </w:pPr>
    </w:p>
    <w:p w14:paraId="543EC069">
      <w:pPr>
        <w:autoSpaceDE w:val="0"/>
        <w:autoSpaceDN w:val="0"/>
        <w:spacing w:line="500" w:lineRule="atLeast"/>
        <w:jc w:val="center"/>
        <w:textAlignment w:val="bottom"/>
        <w:rPr>
          <w:rFonts w:hint="eastAsia" w:ascii="新宋体" w:hAnsi="新宋体" w:eastAsia="新宋体" w:cs="新宋体"/>
          <w:b/>
          <w:color w:val="auto"/>
          <w:sz w:val="72"/>
          <w:szCs w:val="72"/>
          <w:highlight w:val="none"/>
        </w:rPr>
      </w:pPr>
      <w:r>
        <w:rPr>
          <w:rFonts w:hint="eastAsia" w:ascii="新宋体" w:hAnsi="新宋体" w:eastAsia="新宋体" w:cs="新宋体"/>
          <w:b/>
          <w:bCs/>
          <w:color w:val="auto"/>
          <w:sz w:val="72"/>
          <w:szCs w:val="72"/>
          <w:highlight w:val="none"/>
        </w:rPr>
        <w:t>采 购 文 件</w:t>
      </w:r>
    </w:p>
    <w:p w14:paraId="06686114">
      <w:pPr>
        <w:spacing w:line="400" w:lineRule="atLeast"/>
        <w:jc w:val="center"/>
        <w:rPr>
          <w:rFonts w:hint="eastAsia" w:ascii="新宋体" w:hAnsi="新宋体" w:eastAsia="新宋体" w:cs="新宋体"/>
          <w:b/>
          <w:color w:val="auto"/>
          <w:sz w:val="52"/>
          <w:highlight w:val="none"/>
        </w:rPr>
      </w:pPr>
    </w:p>
    <w:p w14:paraId="6D60E313">
      <w:pPr>
        <w:spacing w:line="400" w:lineRule="atLeast"/>
        <w:jc w:val="center"/>
        <w:rPr>
          <w:rFonts w:hint="eastAsia" w:ascii="新宋体" w:hAnsi="新宋体" w:eastAsia="新宋体" w:cs="新宋体"/>
          <w:b/>
          <w:color w:val="auto"/>
          <w:sz w:val="52"/>
          <w:highlight w:val="none"/>
        </w:rPr>
      </w:pPr>
    </w:p>
    <w:p w14:paraId="38F4538D">
      <w:pPr>
        <w:spacing w:line="400" w:lineRule="atLeast"/>
        <w:jc w:val="center"/>
        <w:rPr>
          <w:rFonts w:hint="eastAsia" w:ascii="新宋体" w:hAnsi="新宋体" w:eastAsia="新宋体" w:cs="新宋体"/>
          <w:b/>
          <w:color w:val="auto"/>
          <w:sz w:val="52"/>
          <w:highlight w:val="none"/>
        </w:rPr>
      </w:pPr>
    </w:p>
    <w:p w14:paraId="1036279C">
      <w:pPr>
        <w:tabs>
          <w:tab w:val="left" w:pos="4860"/>
        </w:tabs>
        <w:spacing w:line="600" w:lineRule="exact"/>
        <w:ind w:right="1143" w:firstLine="2224" w:firstLineChars="616"/>
        <w:jc w:val="left"/>
        <w:rPr>
          <w:rFonts w:hint="eastAsia" w:ascii="新宋体" w:hAnsi="新宋体" w:eastAsia="新宋体" w:cs="新宋体"/>
          <w:b/>
          <w:color w:val="auto"/>
          <w:spacing w:val="40"/>
          <w:sz w:val="28"/>
          <w:szCs w:val="28"/>
          <w:highlight w:val="none"/>
          <w:lang w:eastAsia="zh-CN"/>
        </w:rPr>
      </w:pPr>
      <w:r>
        <w:rPr>
          <w:rFonts w:hint="eastAsia" w:ascii="新宋体" w:hAnsi="新宋体" w:eastAsia="新宋体" w:cs="新宋体"/>
          <w:b/>
          <w:color w:val="auto"/>
          <w:spacing w:val="40"/>
          <w:sz w:val="28"/>
          <w:szCs w:val="28"/>
          <w:highlight w:val="none"/>
        </w:rPr>
        <w:t>项目编号：</w:t>
      </w:r>
      <w:r>
        <w:rPr>
          <w:rFonts w:hint="eastAsia" w:ascii="新宋体" w:hAnsi="新宋体" w:eastAsia="新宋体" w:cs="新宋体"/>
          <w:b/>
          <w:color w:val="auto"/>
          <w:spacing w:val="40"/>
          <w:sz w:val="28"/>
          <w:szCs w:val="28"/>
          <w:highlight w:val="none"/>
          <w:lang w:eastAsia="zh-CN"/>
        </w:rPr>
        <w:t>WGSS-XDJT-Z-2026028</w:t>
      </w:r>
    </w:p>
    <w:p w14:paraId="089A47EB">
      <w:pPr>
        <w:tabs>
          <w:tab w:val="left" w:pos="2100"/>
          <w:tab w:val="left" w:pos="4860"/>
        </w:tabs>
        <w:spacing w:line="600" w:lineRule="exact"/>
        <w:ind w:left="4509" w:leftChars="1050" w:right="1143" w:hanging="2304" w:hangingChars="638"/>
        <w:jc w:val="left"/>
        <w:rPr>
          <w:rFonts w:hint="eastAsia" w:ascii="新宋体" w:hAnsi="新宋体" w:eastAsia="新宋体" w:cs="新宋体"/>
          <w:b/>
          <w:color w:val="auto"/>
          <w:sz w:val="28"/>
          <w:szCs w:val="28"/>
          <w:highlight w:val="none"/>
          <w:lang w:eastAsia="zh-CN"/>
        </w:rPr>
      </w:pPr>
      <w:r>
        <w:rPr>
          <w:rFonts w:hint="eastAsia" w:ascii="新宋体" w:hAnsi="新宋体" w:eastAsia="新宋体" w:cs="新宋体"/>
          <w:b/>
          <w:color w:val="auto"/>
          <w:spacing w:val="40"/>
          <w:sz w:val="28"/>
          <w:szCs w:val="28"/>
          <w:highlight w:val="none"/>
        </w:rPr>
        <w:t>项目名称：</w:t>
      </w:r>
      <w:r>
        <w:rPr>
          <w:rFonts w:hint="eastAsia" w:ascii="新宋体" w:hAnsi="新宋体" w:eastAsia="新宋体" w:cs="新宋体"/>
          <w:b/>
          <w:color w:val="auto"/>
          <w:sz w:val="28"/>
          <w:szCs w:val="28"/>
          <w:highlight w:val="none"/>
          <w:lang w:eastAsia="zh-CN"/>
        </w:rPr>
        <w:t>滨海校区二期教室家具</w:t>
      </w:r>
    </w:p>
    <w:p w14:paraId="21C5B759">
      <w:pPr>
        <w:tabs>
          <w:tab w:val="left" w:pos="4860"/>
        </w:tabs>
        <w:spacing w:line="600" w:lineRule="exact"/>
        <w:ind w:right="1143" w:firstLine="2224" w:firstLineChars="616"/>
        <w:jc w:val="left"/>
        <w:rPr>
          <w:rFonts w:hint="eastAsia" w:ascii="新宋体" w:hAnsi="新宋体" w:eastAsia="新宋体" w:cs="新宋体"/>
          <w:b/>
          <w:color w:val="auto"/>
          <w:spacing w:val="40"/>
          <w:sz w:val="28"/>
          <w:szCs w:val="28"/>
          <w:highlight w:val="none"/>
        </w:rPr>
      </w:pPr>
      <w:r>
        <w:rPr>
          <w:rFonts w:hint="eastAsia" w:ascii="新宋体" w:hAnsi="新宋体" w:eastAsia="新宋体" w:cs="新宋体"/>
          <w:b/>
          <w:color w:val="auto"/>
          <w:spacing w:val="40"/>
          <w:sz w:val="28"/>
          <w:szCs w:val="28"/>
          <w:highlight w:val="none"/>
        </w:rPr>
        <w:t>采购方式：公 开 招 标</w:t>
      </w:r>
    </w:p>
    <w:p w14:paraId="391794EB">
      <w:pPr>
        <w:spacing w:line="400" w:lineRule="atLeast"/>
        <w:rPr>
          <w:rFonts w:hint="eastAsia" w:ascii="新宋体" w:hAnsi="新宋体" w:eastAsia="新宋体" w:cs="新宋体"/>
          <w:b/>
          <w:color w:val="auto"/>
          <w:sz w:val="52"/>
          <w:highlight w:val="none"/>
        </w:rPr>
      </w:pPr>
    </w:p>
    <w:p w14:paraId="58B8CF11">
      <w:pPr>
        <w:spacing w:line="400" w:lineRule="atLeast"/>
        <w:jc w:val="center"/>
        <w:rPr>
          <w:rFonts w:hint="eastAsia" w:ascii="新宋体" w:hAnsi="新宋体" w:eastAsia="新宋体" w:cs="新宋体"/>
          <w:b/>
          <w:color w:val="auto"/>
          <w:sz w:val="52"/>
          <w:highlight w:val="none"/>
        </w:rPr>
      </w:pPr>
    </w:p>
    <w:p w14:paraId="44EC94E5">
      <w:pPr>
        <w:spacing w:line="600" w:lineRule="exact"/>
        <w:rPr>
          <w:rFonts w:hint="eastAsia" w:ascii="新宋体" w:hAnsi="新宋体" w:eastAsia="新宋体" w:cs="新宋体"/>
          <w:b/>
          <w:color w:val="auto"/>
          <w:sz w:val="30"/>
          <w:szCs w:val="30"/>
          <w:highlight w:val="none"/>
        </w:rPr>
      </w:pPr>
    </w:p>
    <w:p w14:paraId="4318E73D">
      <w:pPr>
        <w:pStyle w:val="2"/>
        <w:ind w:firstLine="200"/>
        <w:rPr>
          <w:rFonts w:hint="eastAsia" w:ascii="新宋体" w:hAnsi="新宋体" w:eastAsia="新宋体"/>
          <w:color w:val="auto"/>
          <w:highlight w:val="none"/>
        </w:rPr>
      </w:pPr>
    </w:p>
    <w:p w14:paraId="2D6BE508">
      <w:pPr>
        <w:spacing w:line="600" w:lineRule="exact"/>
        <w:ind w:firstLine="2159" w:firstLineChars="717"/>
        <w:rPr>
          <w:rFonts w:hint="eastAsia" w:ascii="新宋体" w:hAnsi="新宋体" w:eastAsia="新宋体" w:cs="新宋体"/>
          <w:b/>
          <w:color w:val="auto"/>
          <w:sz w:val="30"/>
          <w:szCs w:val="30"/>
          <w:highlight w:val="none"/>
        </w:rPr>
      </w:pPr>
      <w:r>
        <w:rPr>
          <w:rFonts w:hint="eastAsia" w:ascii="新宋体" w:hAnsi="新宋体" w:eastAsia="新宋体" w:cs="新宋体"/>
          <w:b/>
          <w:color w:val="auto"/>
          <w:sz w:val="30"/>
          <w:szCs w:val="30"/>
          <w:highlight w:val="none"/>
        </w:rPr>
        <w:t>采 购 人：</w:t>
      </w:r>
      <w:r>
        <w:rPr>
          <w:rFonts w:hint="eastAsia" w:ascii="新宋体" w:hAnsi="新宋体" w:eastAsia="新宋体" w:cs="新宋体"/>
          <w:b/>
          <w:color w:val="auto"/>
          <w:sz w:val="30"/>
          <w:szCs w:val="30"/>
          <w:highlight w:val="none"/>
          <w:lang w:eastAsia="zh-CN"/>
        </w:rPr>
        <w:t>浙江东方职业技术学院</w:t>
      </w:r>
      <w:r>
        <w:rPr>
          <w:rFonts w:hint="eastAsia" w:ascii="新宋体" w:hAnsi="新宋体" w:eastAsia="新宋体" w:cs="新宋体"/>
          <w:b/>
          <w:color w:val="auto"/>
          <w:sz w:val="30"/>
          <w:szCs w:val="30"/>
          <w:highlight w:val="none"/>
        </w:rPr>
        <w:t xml:space="preserve"> </w:t>
      </w:r>
    </w:p>
    <w:p w14:paraId="1F3E1D87">
      <w:pPr>
        <w:spacing w:line="600" w:lineRule="exact"/>
        <w:ind w:firstLine="2159" w:firstLineChars="717"/>
        <w:rPr>
          <w:rFonts w:hint="eastAsia" w:ascii="新宋体" w:hAnsi="新宋体" w:eastAsia="新宋体" w:cs="新宋体"/>
          <w:b/>
          <w:color w:val="auto"/>
          <w:spacing w:val="40"/>
          <w:sz w:val="30"/>
          <w:szCs w:val="30"/>
          <w:highlight w:val="none"/>
        </w:rPr>
      </w:pPr>
      <w:r>
        <w:rPr>
          <w:rFonts w:hint="eastAsia" w:ascii="新宋体" w:hAnsi="新宋体" w:eastAsia="新宋体" w:cs="新宋体"/>
          <w:b/>
          <w:color w:val="auto"/>
          <w:sz w:val="30"/>
          <w:szCs w:val="30"/>
          <w:highlight w:val="none"/>
        </w:rPr>
        <w:t>采购代理：温州市智信招标代理有限公司</w:t>
      </w:r>
    </w:p>
    <w:p w14:paraId="2CFF91AC">
      <w:pPr>
        <w:spacing w:line="600" w:lineRule="exact"/>
        <w:jc w:val="center"/>
        <w:rPr>
          <w:rFonts w:hint="eastAsia" w:ascii="新宋体" w:hAnsi="新宋体" w:eastAsia="新宋体" w:cs="新宋体"/>
          <w:b/>
          <w:color w:val="auto"/>
          <w:spacing w:val="40"/>
          <w:sz w:val="30"/>
          <w:szCs w:val="30"/>
          <w:highlight w:val="none"/>
        </w:rPr>
      </w:pPr>
      <w:r>
        <w:rPr>
          <w:rFonts w:hint="eastAsia" w:ascii="新宋体" w:hAnsi="新宋体" w:eastAsia="新宋体" w:cs="新宋体"/>
          <w:b/>
          <w:color w:val="auto"/>
          <w:spacing w:val="40"/>
          <w:sz w:val="30"/>
          <w:szCs w:val="30"/>
          <w:highlight w:val="none"/>
        </w:rPr>
        <w:t>二〇二</w:t>
      </w:r>
      <w:r>
        <w:rPr>
          <w:rFonts w:hint="eastAsia" w:ascii="新宋体" w:hAnsi="新宋体" w:eastAsia="新宋体" w:cs="新宋体"/>
          <w:b/>
          <w:color w:val="auto"/>
          <w:spacing w:val="40"/>
          <w:sz w:val="30"/>
          <w:szCs w:val="30"/>
          <w:highlight w:val="none"/>
          <w:lang w:val="en-US" w:eastAsia="zh-CN"/>
        </w:rPr>
        <w:t>六</w:t>
      </w:r>
      <w:r>
        <w:rPr>
          <w:rFonts w:hint="eastAsia" w:ascii="新宋体" w:hAnsi="新宋体" w:eastAsia="新宋体" w:cs="新宋体"/>
          <w:b/>
          <w:color w:val="auto"/>
          <w:spacing w:val="40"/>
          <w:sz w:val="30"/>
          <w:szCs w:val="30"/>
          <w:highlight w:val="none"/>
        </w:rPr>
        <w:t>年</w:t>
      </w:r>
      <w:r>
        <w:rPr>
          <w:rFonts w:hint="eastAsia" w:ascii="新宋体" w:hAnsi="新宋体" w:eastAsia="新宋体" w:cs="新宋体"/>
          <w:b/>
          <w:color w:val="auto"/>
          <w:spacing w:val="40"/>
          <w:sz w:val="30"/>
          <w:szCs w:val="30"/>
          <w:highlight w:val="none"/>
          <w:lang w:val="en-US" w:eastAsia="zh-CN"/>
        </w:rPr>
        <w:t>六</w:t>
      </w:r>
      <w:r>
        <w:rPr>
          <w:rFonts w:hint="eastAsia" w:ascii="新宋体" w:hAnsi="新宋体" w:eastAsia="新宋体" w:cs="新宋体"/>
          <w:b/>
          <w:color w:val="auto"/>
          <w:spacing w:val="40"/>
          <w:sz w:val="30"/>
          <w:szCs w:val="30"/>
          <w:highlight w:val="none"/>
        </w:rPr>
        <w:t>月</w:t>
      </w:r>
    </w:p>
    <w:p w14:paraId="22BCB704">
      <w:pPr>
        <w:spacing w:line="600" w:lineRule="exact"/>
        <w:jc w:val="center"/>
        <w:rPr>
          <w:rFonts w:hint="eastAsia" w:ascii="新宋体" w:hAnsi="新宋体" w:eastAsia="新宋体" w:cs="新宋体"/>
          <w:b/>
          <w:bCs/>
          <w:color w:val="auto"/>
          <w:sz w:val="32"/>
          <w:szCs w:val="32"/>
          <w:highlight w:val="none"/>
        </w:rPr>
        <w:sectPr>
          <w:headerReference r:id="rId5" w:type="first"/>
          <w:headerReference r:id="rId3" w:type="default"/>
          <w:footerReference r:id="rId6" w:type="default"/>
          <w:headerReference r:id="rId4" w:type="even"/>
          <w:footerReference r:id="rId7" w:type="even"/>
          <w:pgSz w:w="11900" w:h="16840"/>
          <w:pgMar w:top="1134" w:right="1134" w:bottom="1134" w:left="1134" w:header="850" w:footer="850" w:gutter="0"/>
          <w:cols w:space="720" w:num="1"/>
          <w:titlePg/>
          <w:docGrid w:linePitch="360" w:charSpace="0"/>
        </w:sectPr>
      </w:pPr>
    </w:p>
    <w:p w14:paraId="60DFF124">
      <w:pPr>
        <w:spacing w:line="600" w:lineRule="exact"/>
        <w:jc w:val="center"/>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t>目    录</w:t>
      </w:r>
    </w:p>
    <w:p w14:paraId="0A32CFF8">
      <w:pPr>
        <w:pStyle w:val="2"/>
        <w:ind w:firstLine="200"/>
        <w:rPr>
          <w:rFonts w:hint="eastAsia" w:ascii="新宋体" w:hAnsi="新宋体" w:eastAsia="新宋体"/>
          <w:color w:val="auto"/>
          <w:highlight w:val="none"/>
        </w:rPr>
      </w:pPr>
    </w:p>
    <w:p w14:paraId="5A61010F">
      <w:pPr>
        <w:pStyle w:val="19"/>
        <w:tabs>
          <w:tab w:val="right" w:leader="dot" w:pos="9638"/>
          <w:tab w:val="clear" w:pos="9628"/>
        </w:tabs>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"_Toc18655" </w:instrText>
      </w:r>
      <w:r>
        <w:rPr>
          <w:color w:val="auto"/>
          <w:highlight w:val="none"/>
        </w:rPr>
        <w:fldChar w:fldCharType="separate"/>
      </w:r>
      <w:r>
        <w:rPr>
          <w:rFonts w:hint="eastAsia" w:ascii="宋体" w:hAnsi="宋体" w:eastAsia="宋体" w:cs="宋体"/>
          <w:color w:val="auto"/>
          <w:highlight w:val="none"/>
        </w:rPr>
        <w:t>温州市现代集团所属</w:t>
      </w:r>
      <w:r>
        <w:rPr>
          <w:rFonts w:hint="eastAsia" w:ascii="宋体" w:hAnsi="宋体" w:eastAsia="宋体" w:cs="宋体"/>
          <w:color w:val="auto"/>
          <w:highlight w:val="none"/>
          <w:lang w:eastAsia="zh-CN"/>
        </w:rPr>
        <w:t>浙江东方职业技术学院</w:t>
      </w:r>
      <w:r>
        <w:rPr>
          <w:rFonts w:hint="eastAsia" w:ascii="宋体" w:hAnsi="宋体" w:eastAsia="宋体" w:cs="宋体"/>
          <w:color w:val="auto"/>
          <w:highlight w:val="none"/>
        </w:rPr>
        <w:t>关于</w:t>
      </w:r>
      <w:r>
        <w:rPr>
          <w:rFonts w:hint="eastAsia" w:ascii="宋体" w:hAnsi="宋体" w:eastAsia="宋体" w:cs="宋体"/>
          <w:color w:val="auto"/>
          <w:highlight w:val="none"/>
          <w:lang w:eastAsia="zh-CN"/>
        </w:rPr>
        <w:t>滨海校区二期教室家具</w:t>
      </w:r>
      <w:r>
        <w:rPr>
          <w:rFonts w:hint="eastAsia" w:ascii="宋体" w:hAnsi="宋体" w:eastAsia="宋体" w:cs="宋体"/>
          <w:color w:val="auto"/>
          <w:highlight w:val="none"/>
        </w:rPr>
        <w:t>项目</w:t>
      </w:r>
      <w:r>
        <w:rPr>
          <w:rFonts w:hint="eastAsia" w:ascii="宋体" w:hAnsi="宋体" w:eastAsia="宋体" w:cs="宋体"/>
          <w:color w:val="auto"/>
          <w:highlight w:val="none"/>
          <w:lang w:val="en-US" w:eastAsia="zh-CN"/>
        </w:rPr>
        <w:t>(自主)</w:t>
      </w:r>
      <w:r>
        <w:rPr>
          <w:rFonts w:hint="eastAsia" w:ascii="宋体" w:hAnsi="宋体" w:eastAsia="宋体" w:cs="宋体"/>
          <w:color w:val="auto"/>
          <w:highlight w:val="none"/>
        </w:rPr>
        <w:t>的采购公告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727D7B">
      <w:pPr>
        <w:pStyle w:val="19"/>
        <w:tabs>
          <w:tab w:val="right" w:leader="dot" w:pos="9638"/>
          <w:tab w:val="clear" w:pos="9628"/>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"_Toc18691" </w:instrText>
      </w:r>
      <w:r>
        <w:rPr>
          <w:color w:val="auto"/>
          <w:highlight w:val="none"/>
        </w:rPr>
        <w:fldChar w:fldCharType="separate"/>
      </w:r>
      <w:r>
        <w:rPr>
          <w:rFonts w:hint="eastAsia" w:ascii="宋体" w:hAnsi="宋体" w:eastAsia="宋体" w:cs="宋体"/>
          <w:color w:val="auto"/>
          <w:highlight w:val="none"/>
        </w:rPr>
        <w:t>温州市现代集团所属</w:t>
      </w:r>
      <w:r>
        <w:rPr>
          <w:rFonts w:hint="eastAsia" w:ascii="宋体" w:hAnsi="宋体" w:eastAsia="宋体" w:cs="宋体"/>
          <w:color w:val="auto"/>
          <w:highlight w:val="none"/>
          <w:lang w:eastAsia="zh-CN"/>
        </w:rPr>
        <w:t>浙江东方职业技术学院</w:t>
      </w:r>
      <w:r>
        <w:rPr>
          <w:rFonts w:hint="eastAsia" w:ascii="宋体" w:hAnsi="宋体" w:eastAsia="宋体" w:cs="宋体"/>
          <w:color w:val="auto"/>
          <w:highlight w:val="none"/>
        </w:rPr>
        <w:t>关于</w:t>
      </w:r>
      <w:r>
        <w:rPr>
          <w:rFonts w:hint="eastAsia" w:ascii="宋体" w:hAnsi="宋体" w:eastAsia="宋体" w:cs="宋体"/>
          <w:color w:val="auto"/>
          <w:highlight w:val="none"/>
          <w:lang w:eastAsia="zh-CN"/>
        </w:rPr>
        <w:t>滨海校区二期教室家具</w:t>
      </w:r>
      <w:r>
        <w:rPr>
          <w:rFonts w:hint="eastAsia" w:ascii="宋体" w:hAnsi="宋体" w:eastAsia="宋体" w:cs="宋体"/>
          <w:color w:val="auto"/>
          <w:highlight w:val="none"/>
        </w:rPr>
        <w:t>项目</w:t>
      </w:r>
      <w:r>
        <w:rPr>
          <w:rFonts w:hint="eastAsia" w:ascii="宋体" w:hAnsi="宋体" w:eastAsia="宋体" w:cs="宋体"/>
          <w:color w:val="auto"/>
          <w:highlight w:val="none"/>
          <w:lang w:val="en-US" w:eastAsia="zh-CN"/>
        </w:rPr>
        <w:t>(自主)</w:t>
      </w:r>
      <w:r>
        <w:rPr>
          <w:rFonts w:hint="eastAsia" w:ascii="宋体" w:hAnsi="宋体" w:eastAsia="宋体" w:cs="宋体"/>
          <w:color w:val="auto"/>
          <w:highlight w:val="none"/>
        </w:rPr>
        <w:t>的征求意见公示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144BA25">
      <w:pPr>
        <w:pStyle w:val="19"/>
        <w:tabs>
          <w:tab w:val="right" w:leader="dot" w:pos="9638"/>
          <w:tab w:val="clear" w:pos="9628"/>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"_Toc21388" </w:instrText>
      </w:r>
      <w:r>
        <w:rPr>
          <w:color w:val="auto"/>
          <w:highlight w:val="none"/>
        </w:rPr>
        <w:fldChar w:fldCharType="separate"/>
      </w:r>
      <w:r>
        <w:rPr>
          <w:rFonts w:hint="eastAsia" w:ascii="宋体" w:hAnsi="宋体" w:eastAsia="宋体" w:cs="宋体"/>
          <w:color w:val="auto"/>
          <w:highlight w:val="none"/>
        </w:rPr>
        <w:t>投标供应商须知前附表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4A5C47B">
      <w:pPr>
        <w:pStyle w:val="19"/>
        <w:tabs>
          <w:tab w:val="right" w:leader="dot" w:pos="9638"/>
          <w:tab w:val="clear" w:pos="9628"/>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"_Toc21377" </w:instrText>
      </w:r>
      <w:r>
        <w:rPr>
          <w:color w:val="auto"/>
          <w:highlight w:val="none"/>
        </w:rPr>
        <w:fldChar w:fldCharType="separate"/>
      </w:r>
      <w:r>
        <w:rPr>
          <w:rFonts w:hint="eastAsia" w:ascii="宋体" w:hAnsi="宋体" w:eastAsia="宋体" w:cs="宋体"/>
          <w:color w:val="auto"/>
          <w:highlight w:val="none"/>
        </w:rPr>
        <w:t>第一部分    投标供应商须知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6F6E84">
      <w:pPr>
        <w:pStyle w:val="19"/>
        <w:tabs>
          <w:tab w:val="right" w:leader="dot" w:pos="9638"/>
          <w:tab w:val="clear" w:pos="9628"/>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"_Toc29602" </w:instrText>
      </w:r>
      <w:r>
        <w:rPr>
          <w:color w:val="auto"/>
          <w:highlight w:val="none"/>
        </w:rPr>
        <w:fldChar w:fldCharType="separate"/>
      </w:r>
      <w:r>
        <w:rPr>
          <w:rFonts w:hint="eastAsia" w:ascii="宋体" w:hAnsi="宋体" w:eastAsia="宋体" w:cs="宋体"/>
          <w:color w:val="auto"/>
          <w:highlight w:val="none"/>
        </w:rPr>
        <w:t>一、  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_Toc29602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EF7601">
      <w:pPr>
        <w:pStyle w:val="19"/>
        <w:tabs>
          <w:tab w:val="right" w:leader="dot" w:pos="9638"/>
          <w:tab w:val="clear" w:pos="9628"/>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"_Toc30511" </w:instrText>
      </w:r>
      <w:r>
        <w:rPr>
          <w:color w:val="auto"/>
          <w:highlight w:val="none"/>
        </w:rPr>
        <w:fldChar w:fldCharType="separate"/>
      </w:r>
      <w:r>
        <w:rPr>
          <w:rFonts w:hint="eastAsia" w:ascii="宋体" w:hAnsi="宋体" w:eastAsia="宋体" w:cs="宋体"/>
          <w:color w:val="auto"/>
          <w:highlight w:val="none"/>
        </w:rPr>
        <w:t>二、 采购文件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8EB2BE">
      <w:pPr>
        <w:pStyle w:val="19"/>
        <w:tabs>
          <w:tab w:val="right" w:leader="dot" w:pos="9638"/>
          <w:tab w:val="clear" w:pos="9628"/>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"_Toc13546" </w:instrText>
      </w:r>
      <w:r>
        <w:rPr>
          <w:color w:val="auto"/>
          <w:highlight w:val="none"/>
        </w:rPr>
        <w:fldChar w:fldCharType="separate"/>
      </w:r>
      <w:r>
        <w:rPr>
          <w:rFonts w:hint="eastAsia" w:ascii="宋体" w:hAnsi="宋体" w:eastAsia="宋体" w:cs="宋体"/>
          <w:color w:val="auto"/>
          <w:highlight w:val="none"/>
        </w:rPr>
        <w:t>三、 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6C0D93">
      <w:pPr>
        <w:pStyle w:val="19"/>
        <w:tabs>
          <w:tab w:val="right" w:leader="dot" w:pos="9638"/>
          <w:tab w:val="clear" w:pos="9628"/>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"_Toc1539" </w:instrText>
      </w:r>
      <w:r>
        <w:rPr>
          <w:color w:val="auto"/>
          <w:highlight w:val="none"/>
        </w:rPr>
        <w:fldChar w:fldCharType="separate"/>
      </w:r>
      <w:r>
        <w:rPr>
          <w:rFonts w:hint="eastAsia" w:ascii="宋体" w:hAnsi="宋体" w:eastAsia="宋体" w:cs="宋体"/>
          <w:color w:val="auto"/>
          <w:highlight w:val="none"/>
        </w:rPr>
        <w:t>四、 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517F1E">
      <w:pPr>
        <w:pStyle w:val="19"/>
        <w:tabs>
          <w:tab w:val="right" w:leader="dot" w:pos="9638"/>
          <w:tab w:val="clear" w:pos="9628"/>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"_Toc2442" </w:instrText>
      </w:r>
      <w:r>
        <w:rPr>
          <w:color w:val="auto"/>
          <w:highlight w:val="none"/>
        </w:rPr>
        <w:fldChar w:fldCharType="separate"/>
      </w:r>
      <w:r>
        <w:rPr>
          <w:rFonts w:hint="eastAsia" w:ascii="宋体" w:hAnsi="宋体" w:eastAsia="宋体" w:cs="宋体"/>
          <w:color w:val="auto"/>
          <w:highlight w:val="none"/>
        </w:rPr>
        <w:t>五、 开标和评标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E867D04">
      <w:pPr>
        <w:pStyle w:val="19"/>
        <w:tabs>
          <w:tab w:val="right" w:leader="dot" w:pos="9638"/>
          <w:tab w:val="clear" w:pos="9628"/>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"_Toc6508" </w:instrText>
      </w:r>
      <w:r>
        <w:rPr>
          <w:color w:val="auto"/>
          <w:highlight w:val="none"/>
        </w:rPr>
        <w:fldChar w:fldCharType="separate"/>
      </w:r>
      <w:r>
        <w:rPr>
          <w:rFonts w:hint="eastAsia" w:ascii="宋体" w:hAnsi="宋体" w:eastAsia="宋体" w:cs="宋体"/>
          <w:color w:val="auto"/>
          <w:highlight w:val="none"/>
        </w:rPr>
        <w:t>六、 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76B122">
      <w:pPr>
        <w:pStyle w:val="19"/>
        <w:tabs>
          <w:tab w:val="right" w:leader="dot" w:pos="9638"/>
          <w:tab w:val="clear" w:pos="9628"/>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"_Toc23955" </w:instrText>
      </w:r>
      <w:r>
        <w:rPr>
          <w:color w:val="auto"/>
          <w:highlight w:val="none"/>
        </w:rPr>
        <w:fldChar w:fldCharType="separate"/>
      </w:r>
      <w:r>
        <w:rPr>
          <w:rFonts w:hint="eastAsia" w:ascii="宋体" w:hAnsi="宋体" w:eastAsia="宋体" w:cs="宋体"/>
          <w:color w:val="auto"/>
          <w:highlight w:val="none"/>
        </w:rPr>
        <w:t>第二部分   合同格式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764569">
      <w:pPr>
        <w:pStyle w:val="19"/>
        <w:tabs>
          <w:tab w:val="right" w:leader="dot" w:pos="9638"/>
          <w:tab w:val="clear" w:pos="9628"/>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"_Toc11310" </w:instrText>
      </w:r>
      <w:r>
        <w:rPr>
          <w:color w:val="auto"/>
          <w:highlight w:val="none"/>
        </w:rPr>
        <w:fldChar w:fldCharType="separate"/>
      </w:r>
      <w:r>
        <w:rPr>
          <w:rFonts w:hint="eastAsia" w:ascii="宋体" w:hAnsi="宋体" w:eastAsia="宋体" w:cs="宋体"/>
          <w:color w:val="auto"/>
          <w:highlight w:val="none"/>
        </w:rPr>
        <w:t>第三部分   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_Toc11310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51A1BD">
      <w:pPr>
        <w:pStyle w:val="19"/>
        <w:tabs>
          <w:tab w:val="right" w:leader="dot" w:pos="9638"/>
          <w:tab w:val="clear" w:pos="9628"/>
        </w:tabs>
        <w:rPr>
          <w:rFonts w:hint="eastAsia" w:ascii="宋体" w:hAnsi="宋体" w:eastAsia="宋体" w:cs="宋体"/>
          <w:color w:val="auto"/>
          <w:highlight w:val="none"/>
        </w:rPr>
      </w:pPr>
      <w:r>
        <w:rPr>
          <w:color w:val="auto"/>
          <w:highlight w:val="none"/>
        </w:rPr>
        <w:fldChar w:fldCharType="begin"/>
      </w:r>
      <w:r>
        <w:rPr>
          <w:color w:val="auto"/>
          <w:highlight w:val="none"/>
        </w:rPr>
        <w:instrText xml:space="preserve"> HYPERLINK \l "_Toc29752" </w:instrText>
      </w:r>
      <w:r>
        <w:rPr>
          <w:color w:val="auto"/>
          <w:highlight w:val="none"/>
        </w:rPr>
        <w:fldChar w:fldCharType="separate"/>
      </w:r>
      <w:r>
        <w:rPr>
          <w:rFonts w:hint="eastAsia" w:ascii="宋体" w:hAnsi="宋体" w:eastAsia="宋体" w:cs="宋体"/>
          <w:color w:val="auto"/>
          <w:highlight w:val="none"/>
        </w:rPr>
        <w:t>第四部分   采购内容及要求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_Toc29752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B6AC46">
      <w:pPr>
        <w:pStyle w:val="21"/>
        <w:tabs>
          <w:tab w:val="right" w:leader="dot" w:pos="9638"/>
        </w:tabs>
        <w:spacing w:line="480" w:lineRule="auto"/>
        <w:ind w:left="0" w:leftChars="0"/>
        <w:rPr>
          <w:rFonts w:hint="eastAsia" w:ascii="宋体" w:hAnsi="宋体" w:cs="宋体"/>
          <w:bCs/>
          <w:color w:val="auto"/>
          <w:sz w:val="24"/>
          <w:highlight w:val="none"/>
        </w:rPr>
      </w:pPr>
      <w:r>
        <w:rPr>
          <w:color w:val="auto"/>
          <w:highlight w:val="none"/>
        </w:rPr>
        <w:fldChar w:fldCharType="begin"/>
      </w:r>
      <w:r>
        <w:rPr>
          <w:color w:val="auto"/>
          <w:highlight w:val="none"/>
        </w:rPr>
        <w:instrText xml:space="preserve"> HYPERLINK \l "_Toc10010" </w:instrText>
      </w:r>
      <w:r>
        <w:rPr>
          <w:color w:val="auto"/>
          <w:highlight w:val="none"/>
        </w:rPr>
        <w:fldChar w:fldCharType="separate"/>
      </w:r>
      <w:r>
        <w:rPr>
          <w:rFonts w:hint="eastAsia" w:ascii="宋体" w:hAnsi="宋体" w:cs="宋体"/>
          <w:bCs/>
          <w:color w:val="auto"/>
          <w:sz w:val="24"/>
          <w:highlight w:val="none"/>
        </w:rPr>
        <w:t>第五部分   评标原则及方法</w:t>
      </w:r>
      <w:r>
        <w:rPr>
          <w:rFonts w:hint="eastAsia" w:ascii="宋体" w:hAnsi="宋体" w:cs="宋体"/>
          <w:bCs/>
          <w:color w:val="auto"/>
          <w:sz w:val="24"/>
          <w:highlight w:val="none"/>
        </w:rPr>
        <w:tab/>
      </w:r>
      <w:r>
        <w:rPr>
          <w:rFonts w:hint="eastAsia" w:ascii="宋体" w:hAnsi="宋体" w:cs="宋体"/>
          <w:bCs/>
          <w:color w:val="auto"/>
          <w:sz w:val="24"/>
          <w:highlight w:val="none"/>
        </w:rPr>
        <w:fldChar w:fldCharType="begin"/>
      </w:r>
      <w:r>
        <w:rPr>
          <w:rFonts w:hint="eastAsia" w:ascii="宋体" w:hAnsi="宋体" w:cs="宋体"/>
          <w:bCs/>
          <w:color w:val="auto"/>
          <w:sz w:val="24"/>
          <w:highlight w:val="none"/>
        </w:rPr>
        <w:instrText xml:space="preserve"> PAGEREF _Toc10010 \h </w:instrText>
      </w:r>
      <w:r>
        <w:rPr>
          <w:rFonts w:hint="eastAsia" w:ascii="宋体" w:hAnsi="宋体" w:cs="宋体"/>
          <w:bCs/>
          <w:color w:val="auto"/>
          <w:sz w:val="24"/>
          <w:highlight w:val="none"/>
        </w:rPr>
        <w:fldChar w:fldCharType="separate"/>
      </w:r>
      <w:r>
        <w:rPr>
          <w:rFonts w:hint="eastAsia" w:ascii="宋体" w:hAnsi="宋体" w:cs="宋体"/>
          <w:bCs/>
          <w:color w:val="auto"/>
          <w:sz w:val="24"/>
          <w:highlight w:val="none"/>
        </w:rPr>
        <w:t>44</w:t>
      </w:r>
      <w:r>
        <w:rPr>
          <w:rFonts w:hint="eastAsia" w:ascii="宋体" w:hAnsi="宋体" w:cs="宋体"/>
          <w:bCs/>
          <w:color w:val="auto"/>
          <w:sz w:val="24"/>
          <w:highlight w:val="none"/>
        </w:rPr>
        <w:fldChar w:fldCharType="end"/>
      </w:r>
      <w:r>
        <w:rPr>
          <w:rFonts w:hint="eastAsia" w:ascii="宋体" w:hAnsi="宋体" w:cs="宋体"/>
          <w:bCs/>
          <w:color w:val="auto"/>
          <w:sz w:val="24"/>
          <w:highlight w:val="none"/>
        </w:rPr>
        <w:fldChar w:fldCharType="end"/>
      </w:r>
    </w:p>
    <w:p w14:paraId="78FBC062">
      <w:pPr>
        <w:pStyle w:val="19"/>
        <w:tabs>
          <w:tab w:val="right" w:leader="dot" w:pos="9972"/>
          <w:tab w:val="clear" w:pos="9628"/>
        </w:tabs>
        <w:rPr>
          <w:rFonts w:hint="eastAsia" w:ascii="新宋体" w:hAnsi="新宋体" w:eastAsia="新宋体" w:cs="新宋体"/>
          <w:b/>
          <w:bCs w:val="0"/>
          <w:color w:val="auto"/>
          <w:sz w:val="22"/>
          <w:szCs w:val="22"/>
          <w:highlight w:val="none"/>
        </w:rPr>
      </w:pPr>
      <w:r>
        <w:rPr>
          <w:rFonts w:hint="eastAsia" w:ascii="宋体" w:hAnsi="宋体" w:eastAsia="宋体" w:cs="宋体"/>
          <w:color w:val="auto"/>
          <w:highlight w:val="none"/>
        </w:rPr>
        <w:fldChar w:fldCharType="end"/>
      </w:r>
    </w:p>
    <w:p w14:paraId="6D107053">
      <w:pPr>
        <w:spacing w:line="5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注：采购文件中加“▲”且加下划线的条款，为采购的实质性要求和条件，着重提醒各投标供应商注意，并认真查看采购文件中的每一个条款及要求，因误读采购文件而造成的后果，采购人概不负责。</w:t>
      </w:r>
    </w:p>
    <w:p w14:paraId="2AB222C1">
      <w:pPr>
        <w:pStyle w:val="4"/>
        <w:spacing w:line="360" w:lineRule="auto"/>
        <w:rPr>
          <w:rFonts w:hint="eastAsia" w:ascii="新宋体" w:hAnsi="新宋体" w:eastAsia="新宋体" w:cs="新宋体"/>
          <w:color w:val="auto"/>
          <w:sz w:val="32"/>
          <w:szCs w:val="32"/>
          <w:highlight w:val="none"/>
        </w:rPr>
      </w:pPr>
      <w:bookmarkStart w:id="0" w:name="_Toc434310670"/>
      <w:bookmarkStart w:id="1" w:name="_Toc15028"/>
      <w:bookmarkStart w:id="2" w:name="_Toc462130148"/>
      <w:r>
        <w:rPr>
          <w:rFonts w:hint="eastAsia" w:ascii="新宋体" w:hAnsi="新宋体" w:eastAsia="新宋体" w:cs="宋体"/>
          <w:color w:val="auto"/>
          <w:sz w:val="32"/>
          <w:szCs w:val="32"/>
          <w:highlight w:val="none"/>
        </w:rPr>
        <w:br w:type="page"/>
      </w:r>
      <w:bookmarkStart w:id="3" w:name="_Toc18655"/>
      <w:bookmarkStart w:id="4" w:name="_Toc71374667"/>
      <w:r>
        <w:rPr>
          <w:rFonts w:hint="eastAsia" w:ascii="新宋体" w:hAnsi="新宋体" w:eastAsia="新宋体" w:cs="宋体"/>
          <w:color w:val="auto"/>
          <w:sz w:val="32"/>
          <w:szCs w:val="32"/>
          <w:highlight w:val="none"/>
        </w:rPr>
        <w:t>温州市现代集团所属</w:t>
      </w:r>
      <w:r>
        <w:rPr>
          <w:rFonts w:hint="eastAsia" w:ascii="新宋体" w:hAnsi="新宋体" w:eastAsia="新宋体" w:cs="宋体"/>
          <w:color w:val="auto"/>
          <w:sz w:val="32"/>
          <w:szCs w:val="32"/>
          <w:highlight w:val="none"/>
          <w:lang w:eastAsia="zh-CN"/>
        </w:rPr>
        <w:t>浙江东方职业技术学院</w:t>
      </w:r>
      <w:r>
        <w:rPr>
          <w:rFonts w:hint="eastAsia" w:ascii="新宋体" w:hAnsi="新宋体" w:eastAsia="新宋体" w:cs="宋体"/>
          <w:color w:val="auto"/>
          <w:sz w:val="32"/>
          <w:szCs w:val="32"/>
          <w:highlight w:val="none"/>
        </w:rPr>
        <w:t>关于</w:t>
      </w:r>
      <w:r>
        <w:rPr>
          <w:rFonts w:hint="eastAsia" w:ascii="新宋体" w:hAnsi="新宋体" w:eastAsia="新宋体" w:cs="新宋体"/>
          <w:color w:val="auto"/>
          <w:sz w:val="32"/>
          <w:szCs w:val="32"/>
          <w:highlight w:val="none"/>
          <w:lang w:eastAsia="zh-CN"/>
        </w:rPr>
        <w:t>滨海校区二期教室家具</w:t>
      </w:r>
      <w:r>
        <w:rPr>
          <w:rFonts w:hint="eastAsia" w:ascii="新宋体" w:hAnsi="新宋体" w:eastAsia="新宋体" w:cs="新宋体"/>
          <w:color w:val="auto"/>
          <w:sz w:val="32"/>
          <w:szCs w:val="32"/>
          <w:highlight w:val="none"/>
        </w:rPr>
        <w:t>项目</w:t>
      </w:r>
      <w:r>
        <w:rPr>
          <w:rFonts w:hint="eastAsia" w:ascii="新宋体" w:hAnsi="新宋体" w:eastAsia="新宋体" w:cs="新宋体"/>
          <w:color w:val="auto"/>
          <w:sz w:val="32"/>
          <w:szCs w:val="32"/>
          <w:highlight w:val="none"/>
          <w:lang w:val="en-US" w:eastAsia="zh-CN"/>
        </w:rPr>
        <w:t>(自主)</w:t>
      </w:r>
      <w:r>
        <w:rPr>
          <w:rFonts w:hint="eastAsia" w:ascii="新宋体" w:hAnsi="新宋体" w:eastAsia="新宋体" w:cs="新宋体"/>
          <w:color w:val="auto"/>
          <w:sz w:val="32"/>
          <w:szCs w:val="32"/>
          <w:highlight w:val="none"/>
        </w:rPr>
        <w:t>的采购公告</w:t>
      </w:r>
      <w:bookmarkEnd w:id="0"/>
      <w:bookmarkEnd w:id="1"/>
      <w:bookmarkEnd w:id="2"/>
      <w:bookmarkEnd w:id="3"/>
      <w:bookmarkEnd w:id="4"/>
    </w:p>
    <w:p w14:paraId="0EEC10AC">
      <w:pPr>
        <w:pStyle w:val="2"/>
        <w:spacing w:after="0" w:line="324" w:lineRule="auto"/>
        <w:ind w:firstLine="440" w:firstLineChars="200"/>
        <w:rPr>
          <w:rFonts w:hint="eastAsia" w:ascii="宋体" w:hAnsi="宋体" w:eastAsia="宋体" w:cs="Yu Mincho Light"/>
          <w:color w:val="auto"/>
          <w:sz w:val="22"/>
          <w:szCs w:val="22"/>
          <w:highlight w:val="none"/>
        </w:rPr>
      </w:pPr>
      <w:r>
        <w:rPr>
          <w:rFonts w:hint="eastAsia" w:ascii="宋体" w:hAnsi="宋体" w:eastAsia="宋体" w:cs="Yu Mincho Light"/>
          <w:color w:val="auto"/>
          <w:sz w:val="22"/>
          <w:szCs w:val="22"/>
          <w:highlight w:val="none"/>
        </w:rPr>
        <w:t>根据《温州市市属国有企业采购管理办法》等有关规定，温州市智信招标代理有限公司受</w:t>
      </w:r>
      <w:r>
        <w:rPr>
          <w:rFonts w:hint="eastAsia" w:ascii="宋体" w:hAnsi="宋体" w:eastAsia="宋体" w:cs="Yu Mincho Light"/>
          <w:color w:val="auto"/>
          <w:sz w:val="22"/>
          <w:szCs w:val="22"/>
          <w:highlight w:val="none"/>
          <w:lang w:eastAsia="zh-CN"/>
        </w:rPr>
        <w:t>浙江东方职业技术学院</w:t>
      </w:r>
      <w:r>
        <w:rPr>
          <w:rFonts w:hint="eastAsia" w:ascii="宋体" w:hAnsi="宋体" w:eastAsia="宋体" w:cs="Yu Mincho Light"/>
          <w:color w:val="auto"/>
          <w:sz w:val="22"/>
          <w:szCs w:val="22"/>
          <w:highlight w:val="none"/>
        </w:rPr>
        <w:t>委托，就</w:t>
      </w:r>
      <w:r>
        <w:rPr>
          <w:rFonts w:hint="eastAsia" w:ascii="宋体" w:hAnsi="宋体" w:eastAsia="宋体" w:cs="Yu Mincho Light"/>
          <w:color w:val="auto"/>
          <w:sz w:val="22"/>
          <w:szCs w:val="22"/>
          <w:highlight w:val="none"/>
          <w:lang w:eastAsia="zh-CN"/>
        </w:rPr>
        <w:t>滨海校区二期教室家具</w:t>
      </w:r>
      <w:r>
        <w:rPr>
          <w:rFonts w:hint="eastAsia" w:ascii="宋体" w:hAnsi="宋体" w:eastAsia="宋体" w:cs="Yu Mincho Light"/>
          <w:color w:val="auto"/>
          <w:sz w:val="22"/>
          <w:szCs w:val="22"/>
          <w:highlight w:val="none"/>
        </w:rPr>
        <w:t>项目以公开招标方式进行国企采购，欢迎国内合格的供应商前来投标。</w:t>
      </w:r>
    </w:p>
    <w:p w14:paraId="11483FB3">
      <w:pPr>
        <w:widowControl/>
        <w:spacing w:line="324" w:lineRule="auto"/>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一、公告类型：</w:t>
      </w:r>
      <w:r>
        <w:rPr>
          <w:rFonts w:hint="eastAsia" w:ascii="新宋体" w:hAnsi="新宋体" w:eastAsia="新宋体" w:cs="新宋体"/>
          <w:bCs/>
          <w:color w:val="auto"/>
          <w:kern w:val="0"/>
          <w:sz w:val="22"/>
          <w:szCs w:val="22"/>
          <w:highlight w:val="none"/>
        </w:rPr>
        <w:t>采购公告</w:t>
      </w:r>
    </w:p>
    <w:p w14:paraId="1BC065C2">
      <w:pPr>
        <w:widowControl/>
        <w:spacing w:line="324" w:lineRule="auto"/>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二、采购方式：</w:t>
      </w:r>
      <w:r>
        <w:rPr>
          <w:rFonts w:hint="eastAsia" w:ascii="新宋体" w:hAnsi="新宋体" w:eastAsia="新宋体" w:cs="新宋体"/>
          <w:bCs/>
          <w:color w:val="auto"/>
          <w:kern w:val="0"/>
          <w:sz w:val="22"/>
          <w:szCs w:val="22"/>
          <w:highlight w:val="none"/>
        </w:rPr>
        <w:t>公开招标</w:t>
      </w:r>
    </w:p>
    <w:p w14:paraId="3F0C9200">
      <w:pPr>
        <w:widowControl/>
        <w:spacing w:line="324" w:lineRule="auto"/>
        <w:jc w:val="left"/>
        <w:rPr>
          <w:rFonts w:hint="eastAsia" w:ascii="新宋体" w:hAnsi="新宋体" w:eastAsia="新宋体" w:cs="新宋体"/>
          <w:bCs/>
          <w:color w:val="auto"/>
          <w:kern w:val="0"/>
          <w:sz w:val="22"/>
          <w:szCs w:val="22"/>
          <w:highlight w:val="none"/>
          <w:lang w:eastAsia="zh-CN"/>
        </w:rPr>
      </w:pPr>
      <w:r>
        <w:rPr>
          <w:rFonts w:hint="eastAsia" w:ascii="新宋体" w:hAnsi="新宋体" w:eastAsia="新宋体" w:cs="新宋体"/>
          <w:b/>
          <w:bCs/>
          <w:color w:val="auto"/>
          <w:kern w:val="0"/>
          <w:sz w:val="22"/>
          <w:szCs w:val="22"/>
          <w:highlight w:val="none"/>
        </w:rPr>
        <w:t>三、项目编号：</w:t>
      </w:r>
      <w:r>
        <w:rPr>
          <w:rFonts w:hint="eastAsia" w:ascii="新宋体" w:hAnsi="新宋体" w:eastAsia="新宋体" w:cs="新宋体"/>
          <w:b w:val="0"/>
          <w:bCs w:val="0"/>
          <w:color w:val="auto"/>
          <w:kern w:val="0"/>
          <w:sz w:val="22"/>
          <w:szCs w:val="22"/>
          <w:highlight w:val="none"/>
          <w:lang w:eastAsia="zh-CN"/>
        </w:rPr>
        <w:t>WGSS-XDJT-Z-2026028</w:t>
      </w:r>
      <w:r>
        <w:rPr>
          <w:rFonts w:hint="eastAsia" w:ascii="新宋体" w:hAnsi="新宋体" w:eastAsia="新宋体" w:cs="新宋体"/>
          <w:color w:val="auto"/>
          <w:spacing w:val="40"/>
          <w:sz w:val="22"/>
          <w:szCs w:val="22"/>
          <w:highlight w:val="none"/>
          <w:lang w:val="en-US" w:eastAsia="zh-CN"/>
        </w:rPr>
        <w:t xml:space="preserve"> </w:t>
      </w:r>
    </w:p>
    <w:p w14:paraId="6049F1A0">
      <w:pPr>
        <w:pStyle w:val="2"/>
        <w:spacing w:after="0" w:line="324" w:lineRule="auto"/>
        <w:ind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四、项目性质：</w:t>
      </w:r>
      <w:r>
        <w:rPr>
          <w:rFonts w:hint="eastAsia" w:ascii="新宋体" w:hAnsi="新宋体" w:eastAsia="新宋体" w:cs="新宋体"/>
          <w:color w:val="auto"/>
          <w:sz w:val="22"/>
          <w:szCs w:val="22"/>
          <w:highlight w:val="none"/>
        </w:rPr>
        <w:t>国企采购（非政府采购）</w:t>
      </w:r>
    </w:p>
    <w:p w14:paraId="0FC768FC">
      <w:pPr>
        <w:widowControl/>
        <w:spacing w:line="324" w:lineRule="auto"/>
        <w:jc w:val="left"/>
        <w:rPr>
          <w:rFonts w:hint="eastAsia" w:ascii="新宋体" w:hAnsi="新宋体" w:eastAsia="新宋体" w:cs="新宋体"/>
          <w:b/>
          <w:bCs/>
          <w:color w:val="auto"/>
          <w:kern w:val="0"/>
          <w:sz w:val="22"/>
          <w:szCs w:val="22"/>
          <w:highlight w:val="none"/>
          <w:lang w:eastAsia="zh-CN"/>
        </w:rPr>
      </w:pPr>
      <w:r>
        <w:rPr>
          <w:rFonts w:hint="eastAsia" w:ascii="新宋体" w:hAnsi="新宋体" w:eastAsia="新宋体" w:cs="新宋体"/>
          <w:b/>
          <w:bCs/>
          <w:color w:val="auto"/>
          <w:kern w:val="0"/>
          <w:sz w:val="22"/>
          <w:szCs w:val="22"/>
          <w:highlight w:val="none"/>
        </w:rPr>
        <w:t>五、项目名称：</w:t>
      </w:r>
      <w:r>
        <w:rPr>
          <w:rFonts w:hint="eastAsia" w:ascii="新宋体" w:hAnsi="新宋体" w:eastAsia="新宋体" w:cs="新宋体"/>
          <w:bCs/>
          <w:color w:val="auto"/>
          <w:kern w:val="0"/>
          <w:sz w:val="22"/>
          <w:szCs w:val="22"/>
          <w:highlight w:val="none"/>
          <w:lang w:eastAsia="zh-CN"/>
        </w:rPr>
        <w:t>滨海校区二期教室家具</w:t>
      </w:r>
    </w:p>
    <w:p w14:paraId="70134790">
      <w:pPr>
        <w:widowControl/>
        <w:spacing w:line="324" w:lineRule="auto"/>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六、预算金额：</w:t>
      </w:r>
      <w:r>
        <w:rPr>
          <w:rFonts w:hint="eastAsia" w:ascii="新宋体" w:hAnsi="新宋体" w:eastAsia="新宋体" w:cs="新宋体"/>
          <w:b w:val="0"/>
          <w:bCs w:val="0"/>
          <w:color w:val="auto"/>
          <w:kern w:val="0"/>
          <w:sz w:val="22"/>
          <w:szCs w:val="22"/>
          <w:highlight w:val="none"/>
          <w:lang w:val="en-US" w:eastAsia="zh-CN"/>
        </w:rPr>
        <w:t>620000</w:t>
      </w:r>
      <w:r>
        <w:rPr>
          <w:rFonts w:hint="eastAsia" w:ascii="新宋体" w:hAnsi="新宋体" w:eastAsia="新宋体" w:cs="新宋体"/>
          <w:b w:val="0"/>
          <w:bCs w:val="0"/>
          <w:color w:val="auto"/>
          <w:kern w:val="0"/>
          <w:sz w:val="22"/>
          <w:szCs w:val="22"/>
          <w:highlight w:val="none"/>
        </w:rPr>
        <w:t>元</w:t>
      </w:r>
    </w:p>
    <w:p w14:paraId="2EAD4C1C">
      <w:pPr>
        <w:widowControl/>
        <w:spacing w:line="324" w:lineRule="auto"/>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七、采购内容（具体采购内容及详细技术要求见采购文件相关部分）：</w:t>
      </w:r>
    </w:p>
    <w:tbl>
      <w:tblPr>
        <w:tblStyle w:val="26"/>
        <w:tblW w:w="4992" w:type="pct"/>
        <w:tblInd w:w="0" w:type="dxa"/>
        <w:tblLayout w:type="autofit"/>
        <w:tblCellMar>
          <w:top w:w="0" w:type="dxa"/>
          <w:left w:w="108" w:type="dxa"/>
          <w:bottom w:w="0" w:type="dxa"/>
          <w:right w:w="108" w:type="dxa"/>
        </w:tblCellMar>
      </w:tblPr>
      <w:tblGrid>
        <w:gridCol w:w="843"/>
        <w:gridCol w:w="1754"/>
        <w:gridCol w:w="1085"/>
        <w:gridCol w:w="1425"/>
        <w:gridCol w:w="4731"/>
      </w:tblGrid>
      <w:tr w14:paraId="61F23421">
        <w:tblPrEx>
          <w:tblCellMar>
            <w:top w:w="0" w:type="dxa"/>
            <w:left w:w="108" w:type="dxa"/>
            <w:bottom w:w="0" w:type="dxa"/>
            <w:right w:w="108" w:type="dxa"/>
          </w:tblCellMar>
        </w:tblPrEx>
        <w:tc>
          <w:tcPr>
            <w:tcW w:w="428" w:type="pct"/>
            <w:tcBorders>
              <w:top w:val="single" w:color="000000" w:sz="4" w:space="0"/>
              <w:left w:val="single" w:color="000000" w:sz="4" w:space="0"/>
              <w:bottom w:val="single" w:color="000000" w:sz="4" w:space="0"/>
              <w:right w:val="single" w:color="000000" w:sz="4" w:space="0"/>
            </w:tcBorders>
            <w:vAlign w:val="center"/>
          </w:tcPr>
          <w:p w14:paraId="494D9E1F">
            <w:pPr>
              <w:widowControl/>
              <w:spacing w:before="60" w:after="60" w:line="324" w:lineRule="auto"/>
              <w:ind w:left="60" w:right="60"/>
              <w:jc w:val="center"/>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序号</w:t>
            </w:r>
          </w:p>
        </w:tc>
        <w:tc>
          <w:tcPr>
            <w:tcW w:w="891" w:type="pct"/>
            <w:tcBorders>
              <w:top w:val="single" w:color="000000" w:sz="4" w:space="0"/>
              <w:left w:val="single" w:color="000000" w:sz="4" w:space="0"/>
              <w:bottom w:val="single" w:color="000000" w:sz="4" w:space="0"/>
              <w:right w:val="single" w:color="000000" w:sz="4" w:space="0"/>
            </w:tcBorders>
            <w:vAlign w:val="center"/>
          </w:tcPr>
          <w:p w14:paraId="41B7DDD5">
            <w:pPr>
              <w:widowControl/>
              <w:spacing w:before="60" w:after="60" w:line="324" w:lineRule="auto"/>
              <w:ind w:left="60" w:right="60"/>
              <w:jc w:val="center"/>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标项名称</w:t>
            </w:r>
          </w:p>
        </w:tc>
        <w:tc>
          <w:tcPr>
            <w:tcW w:w="551" w:type="pct"/>
            <w:tcBorders>
              <w:top w:val="single" w:color="000000" w:sz="4" w:space="0"/>
              <w:left w:val="single" w:color="000000" w:sz="4" w:space="0"/>
              <w:bottom w:val="single" w:color="000000" w:sz="4" w:space="0"/>
              <w:right w:val="single" w:color="000000" w:sz="4" w:space="0"/>
            </w:tcBorders>
            <w:vAlign w:val="center"/>
          </w:tcPr>
          <w:p w14:paraId="45C614A9">
            <w:pPr>
              <w:widowControl/>
              <w:spacing w:before="60" w:after="60" w:line="324" w:lineRule="auto"/>
              <w:ind w:left="60" w:right="60"/>
              <w:jc w:val="center"/>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数量</w:t>
            </w:r>
          </w:p>
        </w:tc>
        <w:tc>
          <w:tcPr>
            <w:tcW w:w="724" w:type="pct"/>
            <w:tcBorders>
              <w:top w:val="single" w:color="000000" w:sz="4" w:space="0"/>
              <w:left w:val="single" w:color="000000" w:sz="4" w:space="0"/>
              <w:bottom w:val="single" w:color="000000" w:sz="4" w:space="0"/>
              <w:right w:val="single" w:color="000000" w:sz="4" w:space="0"/>
            </w:tcBorders>
            <w:vAlign w:val="center"/>
          </w:tcPr>
          <w:p w14:paraId="5B1380E4">
            <w:pPr>
              <w:widowControl/>
              <w:spacing w:before="60" w:after="60" w:line="324" w:lineRule="auto"/>
              <w:ind w:left="60" w:right="60"/>
              <w:jc w:val="center"/>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采购预算（万元）</w:t>
            </w:r>
          </w:p>
        </w:tc>
        <w:tc>
          <w:tcPr>
            <w:tcW w:w="2403" w:type="pct"/>
            <w:tcBorders>
              <w:top w:val="single" w:color="000000" w:sz="4" w:space="0"/>
              <w:left w:val="single" w:color="000000" w:sz="4" w:space="0"/>
              <w:bottom w:val="single" w:color="000000" w:sz="4" w:space="0"/>
              <w:right w:val="single" w:color="000000" w:sz="4" w:space="0"/>
            </w:tcBorders>
            <w:vAlign w:val="center"/>
          </w:tcPr>
          <w:p w14:paraId="1644A171">
            <w:pPr>
              <w:widowControl/>
              <w:spacing w:before="60" w:after="60" w:line="324" w:lineRule="auto"/>
              <w:ind w:left="60" w:right="60"/>
              <w:jc w:val="center"/>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简要技术要求概述</w:t>
            </w:r>
          </w:p>
        </w:tc>
      </w:tr>
      <w:tr w14:paraId="228336FB">
        <w:tblPrEx>
          <w:tblCellMar>
            <w:top w:w="0" w:type="dxa"/>
            <w:left w:w="108" w:type="dxa"/>
            <w:bottom w:w="0" w:type="dxa"/>
            <w:right w:w="108" w:type="dxa"/>
          </w:tblCellMar>
        </w:tblPrEx>
        <w:tc>
          <w:tcPr>
            <w:tcW w:w="428" w:type="pct"/>
            <w:tcBorders>
              <w:top w:val="single" w:color="000000" w:sz="4" w:space="0"/>
              <w:left w:val="single" w:color="000000" w:sz="4" w:space="0"/>
              <w:bottom w:val="single" w:color="000000" w:sz="4" w:space="0"/>
              <w:right w:val="single" w:color="000000" w:sz="4" w:space="0"/>
            </w:tcBorders>
            <w:vAlign w:val="center"/>
          </w:tcPr>
          <w:p w14:paraId="23C6CC27">
            <w:pPr>
              <w:widowControl/>
              <w:spacing w:before="60" w:after="60" w:line="324" w:lineRule="auto"/>
              <w:jc w:val="center"/>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1</w:t>
            </w:r>
          </w:p>
        </w:tc>
        <w:tc>
          <w:tcPr>
            <w:tcW w:w="891" w:type="pct"/>
            <w:tcBorders>
              <w:top w:val="single" w:color="000000" w:sz="4" w:space="0"/>
              <w:left w:val="single" w:color="000000" w:sz="4" w:space="0"/>
              <w:bottom w:val="single" w:color="000000" w:sz="4" w:space="0"/>
              <w:right w:val="single" w:color="000000" w:sz="4" w:space="0"/>
            </w:tcBorders>
            <w:vAlign w:val="center"/>
          </w:tcPr>
          <w:p w14:paraId="1C92B8CE">
            <w:pPr>
              <w:widowControl/>
              <w:spacing w:before="60" w:after="60" w:line="324" w:lineRule="auto"/>
              <w:jc w:val="center"/>
              <w:rPr>
                <w:rFonts w:hint="eastAsia" w:ascii="新宋体" w:hAnsi="新宋体" w:eastAsia="新宋体" w:cs="新宋体"/>
                <w:bCs/>
                <w:color w:val="auto"/>
                <w:kern w:val="0"/>
                <w:sz w:val="22"/>
                <w:szCs w:val="22"/>
                <w:highlight w:val="none"/>
                <w:lang w:eastAsia="zh-CN"/>
              </w:rPr>
            </w:pPr>
            <w:r>
              <w:rPr>
                <w:rFonts w:hint="eastAsia" w:ascii="新宋体" w:hAnsi="新宋体" w:eastAsia="新宋体" w:cs="新宋体"/>
                <w:bCs/>
                <w:color w:val="auto"/>
                <w:kern w:val="0"/>
                <w:sz w:val="22"/>
                <w:szCs w:val="22"/>
                <w:highlight w:val="none"/>
                <w:lang w:eastAsia="zh-CN"/>
              </w:rPr>
              <w:t>滨海校区二期教室家具</w:t>
            </w:r>
          </w:p>
        </w:tc>
        <w:tc>
          <w:tcPr>
            <w:tcW w:w="551" w:type="pct"/>
            <w:tcBorders>
              <w:top w:val="single" w:color="000000" w:sz="4" w:space="0"/>
              <w:left w:val="single" w:color="000000" w:sz="4" w:space="0"/>
              <w:bottom w:val="single" w:color="000000" w:sz="4" w:space="0"/>
              <w:right w:val="single" w:color="000000" w:sz="4" w:space="0"/>
            </w:tcBorders>
            <w:vAlign w:val="center"/>
          </w:tcPr>
          <w:p w14:paraId="43C878FF">
            <w:pPr>
              <w:widowControl/>
              <w:spacing w:before="60" w:after="60" w:line="324" w:lineRule="auto"/>
              <w:jc w:val="center"/>
              <w:rPr>
                <w:rFonts w:hint="eastAsia" w:ascii="新宋体" w:hAnsi="新宋体" w:eastAsia="新宋体" w:cs="新宋体"/>
                <w:bCs/>
                <w:color w:val="auto"/>
                <w:kern w:val="0"/>
                <w:sz w:val="22"/>
                <w:szCs w:val="22"/>
                <w:highlight w:val="none"/>
                <w:lang w:val="en-US" w:eastAsia="zh-CN"/>
              </w:rPr>
            </w:pPr>
            <w:r>
              <w:rPr>
                <w:rFonts w:hint="eastAsia" w:ascii="新宋体" w:hAnsi="新宋体" w:eastAsia="新宋体" w:cs="新宋体"/>
                <w:bCs/>
                <w:color w:val="auto"/>
                <w:kern w:val="0"/>
                <w:sz w:val="22"/>
                <w:szCs w:val="22"/>
                <w:highlight w:val="none"/>
                <w:lang w:val="en-US" w:eastAsia="zh-CN"/>
              </w:rPr>
              <w:t>一批</w:t>
            </w:r>
          </w:p>
        </w:tc>
        <w:tc>
          <w:tcPr>
            <w:tcW w:w="724" w:type="pct"/>
            <w:tcBorders>
              <w:top w:val="single" w:color="000000" w:sz="4" w:space="0"/>
              <w:left w:val="single" w:color="000000" w:sz="4" w:space="0"/>
              <w:bottom w:val="single" w:color="000000" w:sz="4" w:space="0"/>
              <w:right w:val="single" w:color="000000" w:sz="4" w:space="0"/>
            </w:tcBorders>
            <w:vAlign w:val="center"/>
          </w:tcPr>
          <w:p w14:paraId="7CD6B762">
            <w:pPr>
              <w:widowControl/>
              <w:spacing w:before="60" w:after="60" w:line="324" w:lineRule="auto"/>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62</w:t>
            </w:r>
          </w:p>
        </w:tc>
        <w:tc>
          <w:tcPr>
            <w:tcW w:w="2403" w:type="pct"/>
            <w:tcBorders>
              <w:top w:val="single" w:color="000000" w:sz="4" w:space="0"/>
              <w:left w:val="single" w:color="000000" w:sz="4" w:space="0"/>
              <w:bottom w:val="single" w:color="000000" w:sz="4" w:space="0"/>
              <w:right w:val="single" w:color="000000" w:sz="4" w:space="0"/>
            </w:tcBorders>
            <w:vAlign w:val="center"/>
          </w:tcPr>
          <w:p w14:paraId="54462841">
            <w:pPr>
              <w:widowControl/>
              <w:spacing w:before="60" w:after="60" w:line="324" w:lineRule="auto"/>
              <w:rPr>
                <w:rFonts w:hint="eastAsia" w:ascii="新宋体" w:hAnsi="新宋体" w:eastAsia="新宋体" w:cs="新宋体"/>
                <w:bCs/>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采购</w:t>
            </w:r>
            <w:r>
              <w:rPr>
                <w:rFonts w:hint="eastAsia" w:ascii="新宋体" w:hAnsi="新宋体" w:eastAsia="新宋体" w:cs="新宋体"/>
                <w:color w:val="auto"/>
                <w:kern w:val="0"/>
                <w:sz w:val="22"/>
                <w:szCs w:val="22"/>
                <w:highlight w:val="none"/>
                <w:lang w:eastAsia="zh-CN"/>
              </w:rPr>
              <w:t>滨海校区二期教室家具</w:t>
            </w:r>
            <w:r>
              <w:rPr>
                <w:rFonts w:hint="eastAsia" w:ascii="新宋体" w:hAnsi="新宋体" w:eastAsia="新宋体" w:cs="新宋体"/>
                <w:color w:val="auto"/>
                <w:kern w:val="0"/>
                <w:sz w:val="22"/>
                <w:szCs w:val="22"/>
                <w:highlight w:val="none"/>
                <w:lang w:val="en-US" w:eastAsia="zh-CN"/>
              </w:rPr>
              <w:t>一批</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bCs/>
                <w:color w:val="auto"/>
                <w:kern w:val="0"/>
                <w:sz w:val="22"/>
                <w:szCs w:val="22"/>
                <w:highlight w:val="none"/>
              </w:rPr>
              <w:t>具体采购内容及详细技术要求见采购文件相关部分。</w:t>
            </w:r>
          </w:p>
        </w:tc>
      </w:tr>
    </w:tbl>
    <w:p w14:paraId="1EE10E35">
      <w:pPr>
        <w:widowControl/>
        <w:spacing w:line="324" w:lineRule="auto"/>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八、投标供应商资格要求</w:t>
      </w:r>
    </w:p>
    <w:p w14:paraId="3AEAC49F">
      <w:pPr>
        <w:widowControl/>
        <w:spacing w:line="324" w:lineRule="auto"/>
        <w:ind w:right="60" w:firstLine="440" w:firstLineChars="200"/>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1.符合《温州市市属国有企业采购管理办法》第十八条对供应商参加温州市国有企业采购活动应当具备的条件的要求；</w:t>
      </w:r>
    </w:p>
    <w:p w14:paraId="5B85D888">
      <w:pPr>
        <w:widowControl/>
        <w:spacing w:line="324" w:lineRule="auto"/>
        <w:ind w:right="60" w:firstLine="440" w:firstLineChars="200"/>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2.投标供应商未被列入“信用中国”网(</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新宋体" w:hAnsi="新宋体" w:eastAsia="新宋体" w:cs="新宋体"/>
          <w:snapToGrid w:val="0"/>
          <w:color w:val="auto"/>
          <w:sz w:val="22"/>
          <w:szCs w:val="22"/>
          <w:highlight w:val="none"/>
        </w:rPr>
        <w:t>www.creditchina.gov.cn</w:t>
      </w:r>
      <w:r>
        <w:rPr>
          <w:rFonts w:hint="eastAsia" w:ascii="新宋体" w:hAnsi="新宋体" w:eastAsia="新宋体" w:cs="新宋体"/>
          <w:snapToGrid w:val="0"/>
          <w:color w:val="auto"/>
          <w:sz w:val="22"/>
          <w:szCs w:val="22"/>
          <w:highlight w:val="none"/>
        </w:rPr>
        <w:fldChar w:fldCharType="end"/>
      </w:r>
      <w:r>
        <w:rPr>
          <w:rFonts w:hint="eastAsia" w:ascii="新宋体" w:hAnsi="新宋体" w:eastAsia="新宋体" w:cs="新宋体"/>
          <w:snapToGrid w:val="0"/>
          <w:color w:val="auto"/>
          <w:sz w:val="22"/>
          <w:szCs w:val="22"/>
          <w:highlight w:val="none"/>
        </w:rPr>
        <w:t>)、中国政府采购网（http://www.ccgp.gov.cn/）失信被执行人、重大税收违法案件当事人名单、政府采购严重违法失信行为记录名单且尚处于禁止参加采购活动期内；</w:t>
      </w:r>
    </w:p>
    <w:p w14:paraId="38D0D244">
      <w:pPr>
        <w:widowControl/>
        <w:spacing w:line="324" w:lineRule="auto"/>
        <w:ind w:right="60" w:firstLine="440" w:firstLineChars="200"/>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3.单位负责人为同一人或者存在直接控股、管理关系的不同供应商，不得参加同一合同项下的国企采购活动；</w:t>
      </w:r>
    </w:p>
    <w:p w14:paraId="3E1F5405">
      <w:pPr>
        <w:widowControl/>
        <w:spacing w:line="324" w:lineRule="auto"/>
        <w:ind w:right="60" w:firstLine="440" w:firstLineChars="200"/>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lang w:val="en-US" w:eastAsia="zh-CN"/>
        </w:rPr>
        <w:t>4</w:t>
      </w:r>
      <w:r>
        <w:rPr>
          <w:rFonts w:hint="eastAsia" w:ascii="新宋体" w:hAnsi="新宋体" w:eastAsia="新宋体" w:cs="新宋体"/>
          <w:snapToGrid w:val="0"/>
          <w:color w:val="auto"/>
          <w:sz w:val="22"/>
          <w:szCs w:val="22"/>
          <w:highlight w:val="none"/>
        </w:rPr>
        <w:t>.本项目不接受联合体投标。</w:t>
      </w:r>
    </w:p>
    <w:p w14:paraId="52E70B13">
      <w:pPr>
        <w:widowControl/>
        <w:spacing w:line="324" w:lineRule="auto"/>
        <w:ind w:right="60"/>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九、</w:t>
      </w:r>
      <w:r>
        <w:rPr>
          <w:rFonts w:hint="eastAsia" w:ascii="新宋体" w:hAnsi="新宋体" w:eastAsia="新宋体" w:cs="新宋体"/>
          <w:b/>
          <w:color w:val="auto"/>
          <w:kern w:val="0"/>
          <w:sz w:val="22"/>
          <w:szCs w:val="22"/>
          <w:highlight w:val="none"/>
        </w:rPr>
        <w:t>获取采购文件时间、地点及方式:</w:t>
      </w:r>
    </w:p>
    <w:p w14:paraId="04A0A7C8">
      <w:pPr>
        <w:widowControl/>
        <w:spacing w:line="324" w:lineRule="auto"/>
        <w:ind w:right="60" w:firstLine="440" w:firstLineChars="200"/>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1.申请获取采购文件方式：供应商在乐采云平台（www.lecaiyun.com）上登录申请获取本项目采购文件</w:t>
      </w:r>
      <w:r>
        <w:rPr>
          <w:rFonts w:hint="eastAsia" w:ascii="新宋体" w:hAnsi="新宋体" w:eastAsia="新宋体" w:cs="新宋体"/>
          <w:snapToGrid w:val="0"/>
          <w:color w:val="auto"/>
          <w:sz w:val="22"/>
          <w:szCs w:val="22"/>
          <w:highlight w:val="none"/>
          <w:lang w:val="en-US" w:eastAsia="zh-CN"/>
        </w:rPr>
        <w:t>或在</w:t>
      </w:r>
      <w:r>
        <w:rPr>
          <w:rFonts w:hint="eastAsia" w:ascii="新宋体" w:hAnsi="新宋体" w:eastAsia="新宋体" w:cs="新宋体"/>
          <w:snapToGrid w:val="0"/>
          <w:color w:val="auto"/>
          <w:sz w:val="22"/>
          <w:szCs w:val="22"/>
          <w:highlight w:val="none"/>
        </w:rPr>
        <w:t>温州国企采购平台或</w:t>
      </w:r>
      <w:r>
        <w:rPr>
          <w:rFonts w:hint="eastAsia" w:ascii="新宋体" w:hAnsi="新宋体" w:eastAsia="新宋体" w:cs="新宋体"/>
          <w:snapToGrid w:val="0"/>
          <w:color w:val="auto"/>
          <w:sz w:val="22"/>
          <w:szCs w:val="22"/>
          <w:highlight w:val="none"/>
          <w:lang w:eastAsia="zh-CN"/>
        </w:rPr>
        <w:t>温州市</w:t>
      </w:r>
      <w:r>
        <w:rPr>
          <w:rFonts w:hint="eastAsia" w:ascii="新宋体" w:hAnsi="新宋体" w:eastAsia="新宋体" w:cs="新宋体"/>
          <w:snapToGrid w:val="0"/>
          <w:color w:val="auto"/>
          <w:sz w:val="22"/>
          <w:szCs w:val="22"/>
          <w:highlight w:val="none"/>
          <w:lang w:val="en-US" w:eastAsia="zh-CN"/>
        </w:rPr>
        <w:t>现代</w:t>
      </w:r>
      <w:r>
        <w:rPr>
          <w:rFonts w:hint="eastAsia" w:ascii="新宋体" w:hAnsi="新宋体" w:eastAsia="新宋体" w:cs="新宋体"/>
          <w:snapToGrid w:val="0"/>
          <w:color w:val="auto"/>
          <w:sz w:val="22"/>
          <w:szCs w:val="22"/>
          <w:highlight w:val="none"/>
          <w:lang w:eastAsia="zh-CN"/>
        </w:rPr>
        <w:t>集团官网</w:t>
      </w:r>
      <w:r>
        <w:rPr>
          <w:rFonts w:hint="eastAsia" w:ascii="新宋体" w:hAnsi="新宋体" w:eastAsia="新宋体" w:cs="新宋体"/>
          <w:snapToGrid w:val="0"/>
          <w:color w:val="auto"/>
          <w:sz w:val="22"/>
          <w:szCs w:val="22"/>
          <w:highlight w:val="none"/>
        </w:rPr>
        <w:t>直接获取本项目采购文件，将以下书面资料提交至采购代理机构并办理购买采购文件事宜（亦可通过邮箱将报名资料扫描件发送至462978466@qq.com进行报名），采购代理机构将对书面资料进行审核：</w:t>
      </w:r>
    </w:p>
    <w:p w14:paraId="225148E6">
      <w:pPr>
        <w:widowControl/>
        <w:spacing w:line="324" w:lineRule="auto"/>
        <w:ind w:right="60" w:firstLine="424" w:firstLineChars="193"/>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①　法定代表人（单位负责人）授权委托书/公司介绍信；</w:t>
      </w:r>
    </w:p>
    <w:p w14:paraId="23665D99">
      <w:pPr>
        <w:widowControl/>
        <w:spacing w:line="324" w:lineRule="auto"/>
        <w:ind w:right="60" w:firstLine="424" w:firstLineChars="193"/>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②　被授权人身份证复印件；</w:t>
      </w:r>
    </w:p>
    <w:p w14:paraId="29217958">
      <w:pPr>
        <w:widowControl/>
        <w:spacing w:line="324" w:lineRule="auto"/>
        <w:ind w:right="60" w:firstLine="424" w:firstLineChars="193"/>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③　加盖有效公章的营业执照副本复印件。</w:t>
      </w:r>
    </w:p>
    <w:p w14:paraId="0438F8BE">
      <w:pPr>
        <w:widowControl/>
        <w:spacing w:line="324" w:lineRule="auto"/>
        <w:ind w:right="60" w:firstLine="440" w:firstLineChars="200"/>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2.申请获取采购文件时间：公告发布之日起至投标响应文件递交截止时间前（节假日除外），上午：08:30－11:30，下午：14:00－17:30。</w:t>
      </w:r>
    </w:p>
    <w:p w14:paraId="18AB4759">
      <w:pPr>
        <w:widowControl/>
        <w:spacing w:line="324" w:lineRule="auto"/>
        <w:ind w:right="60" w:firstLine="440" w:firstLineChars="200"/>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3.购领采购文件时间和地点：温州市智信招标代理有限公司（</w:t>
      </w:r>
      <w:r>
        <w:rPr>
          <w:rFonts w:hint="eastAsia" w:ascii="新宋体" w:hAnsi="新宋体" w:eastAsia="新宋体" w:cs="新宋体"/>
          <w:snapToGrid w:val="0"/>
          <w:color w:val="auto"/>
          <w:sz w:val="22"/>
          <w:szCs w:val="22"/>
          <w:highlight w:val="none"/>
          <w:lang w:eastAsia="zh-CN"/>
        </w:rPr>
        <w:t>温州市瓯海区兴海路1号联众大厦5楼</w:t>
      </w:r>
      <w:r>
        <w:rPr>
          <w:rFonts w:hint="eastAsia" w:ascii="新宋体" w:hAnsi="新宋体" w:eastAsia="新宋体" w:cs="新宋体"/>
          <w:snapToGrid w:val="0"/>
          <w:color w:val="auto"/>
          <w:sz w:val="22"/>
          <w:szCs w:val="22"/>
          <w:highlight w:val="none"/>
        </w:rPr>
        <w:t>）。采购代理机构将拒收未购领采购文件的潜在供应商递交的投标响应文件，采购文件每份500元整，售后不退。</w:t>
      </w:r>
    </w:p>
    <w:p w14:paraId="7DDCEF41">
      <w:pPr>
        <w:widowControl/>
        <w:spacing w:line="324" w:lineRule="auto"/>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十、投标文件递交截止时间、开标时间及地点：</w:t>
      </w:r>
    </w:p>
    <w:p w14:paraId="1FD38D39">
      <w:pPr>
        <w:widowControl/>
        <w:spacing w:line="324"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1.投标文件递交截止时间：</w:t>
      </w:r>
      <w:r>
        <w:rPr>
          <w:rFonts w:hint="eastAsia" w:ascii="新宋体" w:hAnsi="新宋体" w:eastAsia="新宋体" w:cs="新宋体"/>
          <w:color w:val="auto"/>
          <w:kern w:val="0"/>
          <w:sz w:val="22"/>
          <w:szCs w:val="22"/>
          <w:highlight w:val="none"/>
          <w:lang w:eastAsia="zh-CN"/>
        </w:rPr>
        <w:t>2026年6月</w:t>
      </w:r>
      <w:r>
        <w:rPr>
          <w:rFonts w:hint="eastAsia" w:ascii="新宋体" w:hAnsi="新宋体" w:eastAsia="新宋体" w:cs="新宋体"/>
          <w:color w:val="auto"/>
          <w:kern w:val="0"/>
          <w:sz w:val="22"/>
          <w:szCs w:val="22"/>
          <w:highlight w:val="none"/>
          <w:lang w:val="en-US" w:eastAsia="zh-CN"/>
        </w:rPr>
        <w:t>24</w:t>
      </w:r>
      <w:r>
        <w:rPr>
          <w:rFonts w:hint="eastAsia" w:ascii="新宋体" w:hAnsi="新宋体" w:eastAsia="新宋体" w:cs="新宋体"/>
          <w:color w:val="auto"/>
          <w:kern w:val="0"/>
          <w:sz w:val="22"/>
          <w:szCs w:val="22"/>
          <w:highlight w:val="none"/>
          <w:lang w:eastAsia="zh-CN"/>
        </w:rPr>
        <w:t>日14：30</w:t>
      </w:r>
    </w:p>
    <w:p w14:paraId="11DD79E2">
      <w:pPr>
        <w:widowControl/>
        <w:spacing w:line="324" w:lineRule="auto"/>
        <w:ind w:firstLine="440" w:firstLineChars="20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2.递交地点：</w:t>
      </w:r>
      <w:r>
        <w:rPr>
          <w:rFonts w:hint="eastAsia" w:ascii="新宋体" w:hAnsi="新宋体" w:eastAsia="新宋体" w:cs="新宋体"/>
          <w:color w:val="auto"/>
          <w:kern w:val="0"/>
          <w:sz w:val="22"/>
          <w:szCs w:val="22"/>
          <w:highlight w:val="none"/>
          <w:lang w:eastAsia="zh-CN"/>
        </w:rPr>
        <w:t>温州市鹿城区瓯江路展银大厦1楼1号会议室</w:t>
      </w:r>
    </w:p>
    <w:p w14:paraId="78999316">
      <w:pPr>
        <w:widowControl/>
        <w:spacing w:line="324"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3.开标时间：</w:t>
      </w:r>
      <w:r>
        <w:rPr>
          <w:rFonts w:hint="eastAsia" w:ascii="新宋体" w:hAnsi="新宋体" w:eastAsia="新宋体" w:cs="新宋体"/>
          <w:color w:val="auto"/>
          <w:kern w:val="0"/>
          <w:sz w:val="22"/>
          <w:szCs w:val="22"/>
          <w:highlight w:val="none"/>
          <w:lang w:eastAsia="zh-CN"/>
        </w:rPr>
        <w:t>2026年6月</w:t>
      </w:r>
      <w:r>
        <w:rPr>
          <w:rFonts w:hint="eastAsia" w:ascii="新宋体" w:hAnsi="新宋体" w:eastAsia="新宋体" w:cs="新宋体"/>
          <w:color w:val="auto"/>
          <w:kern w:val="0"/>
          <w:sz w:val="22"/>
          <w:szCs w:val="22"/>
          <w:highlight w:val="none"/>
          <w:lang w:val="en-US" w:eastAsia="zh-CN"/>
        </w:rPr>
        <w:t>24</w:t>
      </w:r>
      <w:r>
        <w:rPr>
          <w:rFonts w:hint="eastAsia" w:ascii="新宋体" w:hAnsi="新宋体" w:eastAsia="新宋体" w:cs="新宋体"/>
          <w:color w:val="auto"/>
          <w:kern w:val="0"/>
          <w:sz w:val="22"/>
          <w:szCs w:val="22"/>
          <w:highlight w:val="none"/>
          <w:lang w:eastAsia="zh-CN"/>
        </w:rPr>
        <w:t>日14：30</w:t>
      </w:r>
    </w:p>
    <w:p w14:paraId="36ACB7D7">
      <w:pPr>
        <w:widowControl/>
        <w:spacing w:line="324" w:lineRule="auto"/>
        <w:ind w:firstLine="440" w:firstLineChars="20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4.开标地点：</w:t>
      </w:r>
      <w:r>
        <w:rPr>
          <w:rFonts w:hint="eastAsia" w:ascii="新宋体" w:hAnsi="新宋体" w:eastAsia="新宋体" w:cs="新宋体"/>
          <w:color w:val="auto"/>
          <w:kern w:val="0"/>
          <w:sz w:val="22"/>
          <w:szCs w:val="22"/>
          <w:highlight w:val="none"/>
          <w:lang w:eastAsia="zh-CN"/>
        </w:rPr>
        <w:t>温州市鹿城区瓯江路展银大厦1楼1号会议室</w:t>
      </w:r>
    </w:p>
    <w:p w14:paraId="1B158EE5">
      <w:pPr>
        <w:widowControl/>
        <w:spacing w:line="324" w:lineRule="auto"/>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kern w:val="0"/>
          <w:sz w:val="22"/>
          <w:szCs w:val="22"/>
          <w:highlight w:val="none"/>
        </w:rPr>
        <w:t>十一、投标保证金</w:t>
      </w:r>
    </w:p>
    <w:p w14:paraId="2517AE3A">
      <w:pPr>
        <w:widowControl/>
        <w:spacing w:line="324"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投标保证金：人民币</w:t>
      </w:r>
      <w:r>
        <w:rPr>
          <w:rFonts w:hint="eastAsia" w:ascii="新宋体" w:hAnsi="新宋体" w:eastAsia="新宋体" w:cs="新宋体"/>
          <w:color w:val="auto"/>
          <w:kern w:val="0"/>
          <w:sz w:val="22"/>
          <w:szCs w:val="22"/>
          <w:highlight w:val="none"/>
          <w:lang w:val="en-US" w:eastAsia="zh-CN"/>
        </w:rPr>
        <w:t>陆仟贰佰</w:t>
      </w:r>
      <w:r>
        <w:rPr>
          <w:rFonts w:hint="eastAsia" w:ascii="新宋体" w:hAnsi="新宋体" w:eastAsia="新宋体" w:cs="新宋体"/>
          <w:color w:val="auto"/>
          <w:kern w:val="0"/>
          <w:sz w:val="22"/>
          <w:szCs w:val="22"/>
          <w:highlight w:val="none"/>
        </w:rPr>
        <w:t>元整（¥</w:t>
      </w:r>
      <w:r>
        <w:rPr>
          <w:rFonts w:hint="eastAsia" w:ascii="新宋体" w:hAnsi="新宋体" w:eastAsia="新宋体" w:cs="新宋体"/>
          <w:color w:val="auto"/>
          <w:kern w:val="0"/>
          <w:sz w:val="22"/>
          <w:szCs w:val="22"/>
          <w:highlight w:val="none"/>
          <w:lang w:val="en-US" w:eastAsia="zh-CN"/>
        </w:rPr>
        <w:t>6200</w:t>
      </w:r>
      <w:r>
        <w:rPr>
          <w:rFonts w:hint="eastAsia" w:ascii="新宋体" w:hAnsi="新宋体" w:eastAsia="新宋体" w:cs="新宋体"/>
          <w:color w:val="auto"/>
          <w:kern w:val="0"/>
          <w:sz w:val="22"/>
          <w:szCs w:val="22"/>
          <w:highlight w:val="none"/>
        </w:rPr>
        <w:t>元）</w:t>
      </w:r>
    </w:p>
    <w:p w14:paraId="1883A20B">
      <w:pPr>
        <w:widowControl/>
        <w:spacing w:line="324" w:lineRule="auto"/>
        <w:ind w:left="9677" w:leftChars="208" w:hanging="9240" w:hangingChars="4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投标保证金缴纳截止时间：</w:t>
      </w:r>
      <w:r>
        <w:rPr>
          <w:rFonts w:hint="eastAsia" w:ascii="新宋体" w:hAnsi="新宋体" w:eastAsia="新宋体" w:cs="新宋体"/>
          <w:color w:val="auto"/>
          <w:kern w:val="0"/>
          <w:sz w:val="22"/>
          <w:szCs w:val="22"/>
          <w:highlight w:val="none"/>
          <w:lang w:eastAsia="zh-CN"/>
        </w:rPr>
        <w:t>2026年6月</w:t>
      </w:r>
      <w:r>
        <w:rPr>
          <w:rFonts w:hint="eastAsia" w:ascii="新宋体" w:hAnsi="新宋体" w:eastAsia="新宋体" w:cs="新宋体"/>
          <w:color w:val="auto"/>
          <w:kern w:val="0"/>
          <w:sz w:val="22"/>
          <w:szCs w:val="22"/>
          <w:highlight w:val="none"/>
          <w:lang w:val="en-US" w:eastAsia="zh-CN"/>
        </w:rPr>
        <w:t>24</w:t>
      </w:r>
      <w:r>
        <w:rPr>
          <w:rFonts w:hint="eastAsia" w:ascii="新宋体" w:hAnsi="新宋体" w:eastAsia="新宋体" w:cs="新宋体"/>
          <w:color w:val="auto"/>
          <w:kern w:val="0"/>
          <w:sz w:val="22"/>
          <w:szCs w:val="22"/>
          <w:highlight w:val="none"/>
          <w:lang w:eastAsia="zh-CN"/>
        </w:rPr>
        <w:t>日14：30</w:t>
      </w:r>
    </w:p>
    <w:p w14:paraId="0CEC319A">
      <w:pPr>
        <w:widowControl/>
        <w:spacing w:line="324" w:lineRule="auto"/>
        <w:ind w:left="9677" w:leftChars="208" w:hanging="9240" w:hangingChars="4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户名：温州市智信招标代理有限公司</w:t>
      </w:r>
    </w:p>
    <w:p w14:paraId="5C379DDC">
      <w:pPr>
        <w:widowControl/>
        <w:spacing w:line="324" w:lineRule="auto"/>
        <w:ind w:left="9677" w:leftChars="208" w:hanging="9240" w:hangingChars="4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账号： 333504140018800009390</w:t>
      </w:r>
    </w:p>
    <w:p w14:paraId="5CAFF49C">
      <w:pPr>
        <w:widowControl/>
        <w:spacing w:line="324" w:lineRule="auto"/>
        <w:ind w:left="9677" w:leftChars="208" w:hanging="9240" w:hangingChars="4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开户行：交通银行温州分行瓯海支行</w:t>
      </w:r>
    </w:p>
    <w:p w14:paraId="6547EFE4">
      <w:pPr>
        <w:widowControl/>
        <w:spacing w:line="324" w:lineRule="auto"/>
        <w:jc w:val="lef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十二、其他事项</w:t>
      </w:r>
    </w:p>
    <w:p w14:paraId="59D3B1E1">
      <w:pPr>
        <w:widowControl/>
        <w:spacing w:line="360" w:lineRule="auto"/>
        <w:ind w:firstLine="440" w:firstLineChars="200"/>
        <w:jc w:val="both"/>
        <w:rPr>
          <w:rFonts w:hint="eastAsia" w:ascii="宋体" w:hAnsi="宋体" w:cs="楷体"/>
          <w:color w:val="auto"/>
          <w:kern w:val="0"/>
          <w:sz w:val="22"/>
          <w:szCs w:val="22"/>
          <w:highlight w:val="none"/>
          <w:u w:val="none"/>
          <w:lang w:val="en-US" w:eastAsia="zh-CN"/>
        </w:rPr>
      </w:pPr>
      <w:r>
        <w:rPr>
          <w:rFonts w:hint="eastAsia" w:ascii="宋体" w:hAnsi="宋体" w:cs="楷体"/>
          <w:color w:val="auto"/>
          <w:kern w:val="0"/>
          <w:sz w:val="22"/>
          <w:szCs w:val="22"/>
          <w:highlight w:val="none"/>
          <w:u w:val="none"/>
          <w:lang w:val="en-US" w:eastAsia="zh-CN"/>
        </w:rPr>
        <w:t>1.供应商认为采购文件使自己的权益受到损害的，可以自采购公告发布之日（以公告发布次日起计）起6日内，以书面形式向采购人和采购代理机构提出质疑，逾期提出的，采购组织机构可以不予受理、答复。质疑供应商对采购人、采购代理机构的答复不满意或者采购人、采购代理机构未在规定的时间内作出答复的，可以在答复期满后15个工作日内向采购人（集团）的内设监管职能部门投诉。</w:t>
      </w:r>
    </w:p>
    <w:p w14:paraId="36E140B7">
      <w:pPr>
        <w:widowControl/>
        <w:spacing w:line="360" w:lineRule="auto"/>
        <w:ind w:firstLine="440" w:firstLineChars="200"/>
        <w:jc w:val="both"/>
        <w:rPr>
          <w:rFonts w:hint="eastAsia" w:ascii="宋体" w:hAnsi="宋体" w:cs="楷体"/>
          <w:color w:val="auto"/>
          <w:kern w:val="0"/>
          <w:sz w:val="22"/>
          <w:szCs w:val="22"/>
          <w:highlight w:val="none"/>
          <w:u w:val="none"/>
          <w:lang w:val="en-US" w:eastAsia="zh-CN"/>
        </w:rPr>
      </w:pPr>
      <w:r>
        <w:rPr>
          <w:rFonts w:hint="eastAsia" w:ascii="宋体" w:hAnsi="宋体" w:cs="楷体"/>
          <w:color w:val="auto"/>
          <w:kern w:val="0"/>
          <w:sz w:val="22"/>
          <w:szCs w:val="22"/>
          <w:highlight w:val="none"/>
          <w:u w:val="none"/>
          <w:lang w:val="en-US" w:eastAsia="zh-CN"/>
        </w:rPr>
        <w:t>2.</w:t>
      </w:r>
      <w:r>
        <w:rPr>
          <w:rFonts w:hint="eastAsia" w:ascii="新宋体" w:hAnsi="新宋体" w:eastAsia="新宋体" w:cs="新宋体"/>
          <w:color w:val="auto"/>
          <w:sz w:val="22"/>
          <w:szCs w:val="22"/>
          <w:highlight w:val="none"/>
          <w:u w:val="none"/>
        </w:rPr>
        <w:t>温州市现代服务业发展集团有限公司</w:t>
      </w:r>
      <w:r>
        <w:rPr>
          <w:rFonts w:hint="eastAsia" w:ascii="宋体" w:hAnsi="宋体" w:cs="楷体"/>
          <w:color w:val="auto"/>
          <w:kern w:val="0"/>
          <w:sz w:val="22"/>
          <w:szCs w:val="22"/>
          <w:highlight w:val="none"/>
          <w:u w:val="none"/>
          <w:lang w:val="en-US" w:eastAsia="zh-CN"/>
        </w:rPr>
        <w:t>负责对投标供应商反映的企业本部及所属企业在采购活动中出现的违法违规问题进行答疑回复。投标供应商认为</w:t>
      </w:r>
      <w:r>
        <w:rPr>
          <w:rFonts w:hint="eastAsia" w:ascii="新宋体" w:hAnsi="新宋体" w:eastAsia="新宋体" w:cs="新宋体"/>
          <w:color w:val="auto"/>
          <w:sz w:val="22"/>
          <w:szCs w:val="22"/>
          <w:highlight w:val="none"/>
          <w:u w:val="none"/>
        </w:rPr>
        <w:t>温州市现代服务业发展集团有限公司</w:t>
      </w:r>
      <w:r>
        <w:rPr>
          <w:rFonts w:hint="eastAsia" w:ascii="宋体" w:hAnsi="宋体" w:cs="楷体"/>
          <w:color w:val="auto"/>
          <w:kern w:val="0"/>
          <w:sz w:val="22"/>
          <w:szCs w:val="22"/>
          <w:highlight w:val="none"/>
          <w:u w:val="none"/>
          <w:lang w:val="en-US" w:eastAsia="zh-CN"/>
        </w:rPr>
        <w:t>答疑回复处理结果不合法的，可以采购人或代理机构为对象依法向采购人所在地人民法院提起诉讼。</w:t>
      </w:r>
    </w:p>
    <w:p w14:paraId="53183B38">
      <w:pPr>
        <w:widowControl/>
        <w:spacing w:line="360" w:lineRule="auto"/>
        <w:ind w:firstLine="440" w:firstLineChars="200"/>
        <w:jc w:val="both"/>
        <w:rPr>
          <w:rFonts w:hint="eastAsia" w:ascii="宋体" w:hAnsi="宋体" w:cs="楷体"/>
          <w:color w:val="auto"/>
          <w:kern w:val="0"/>
          <w:sz w:val="22"/>
          <w:szCs w:val="22"/>
          <w:highlight w:val="none"/>
          <w:lang w:val="en-US" w:eastAsia="zh-CN"/>
        </w:rPr>
      </w:pPr>
      <w:r>
        <w:rPr>
          <w:rFonts w:hint="eastAsia" w:ascii="宋体" w:hAnsi="宋体" w:cs="楷体"/>
          <w:color w:val="auto"/>
          <w:kern w:val="0"/>
          <w:sz w:val="22"/>
          <w:szCs w:val="22"/>
          <w:highlight w:val="none"/>
          <w:lang w:val="en-US" w:eastAsia="zh-CN"/>
        </w:rPr>
        <w:t>3.采购公告附件的采购文件仅供阅览使用，未按照本公告规定的方式获取采购文件的潜在供应商提起的质疑采购组织机构将不予受理、答复。</w:t>
      </w:r>
    </w:p>
    <w:p w14:paraId="5242A514">
      <w:pPr>
        <w:widowControl/>
        <w:spacing w:line="360" w:lineRule="auto"/>
        <w:ind w:firstLine="440" w:firstLineChars="200"/>
        <w:jc w:val="both"/>
        <w:rPr>
          <w:rFonts w:hint="eastAsia" w:ascii="宋体" w:hAnsi="宋体" w:cs="楷体"/>
          <w:color w:val="auto"/>
          <w:kern w:val="0"/>
          <w:sz w:val="22"/>
          <w:szCs w:val="22"/>
          <w:highlight w:val="none"/>
          <w:lang w:val="en-US" w:eastAsia="zh-CN"/>
        </w:rPr>
      </w:pPr>
      <w:r>
        <w:rPr>
          <w:rFonts w:hint="eastAsia" w:ascii="宋体" w:hAnsi="宋体" w:cs="楷体"/>
          <w:color w:val="auto"/>
          <w:kern w:val="0"/>
          <w:sz w:val="22"/>
          <w:szCs w:val="22"/>
          <w:highlight w:val="none"/>
          <w:lang w:val="en-US" w:eastAsia="zh-CN"/>
        </w:rPr>
        <w:t>4.采购文件发售截止时间之后潜在投标供应商仍然可以购买采购文件，但该投标供应商如对采购文件有疑问应按采购文件规定的询疑截止时间前提出，逾期提出的，采购代理机构可以不予受理、答复。</w:t>
      </w:r>
    </w:p>
    <w:p w14:paraId="1939A135">
      <w:pPr>
        <w:widowControl/>
        <w:spacing w:line="360" w:lineRule="auto"/>
        <w:ind w:firstLine="440" w:firstLineChars="200"/>
        <w:jc w:val="both"/>
        <w:rPr>
          <w:rFonts w:hint="eastAsia" w:ascii="宋体" w:hAnsi="宋体" w:cs="楷体"/>
          <w:color w:val="auto"/>
          <w:kern w:val="0"/>
          <w:sz w:val="22"/>
          <w:szCs w:val="22"/>
          <w:highlight w:val="none"/>
          <w:lang w:val="en-US" w:eastAsia="zh-CN"/>
        </w:rPr>
      </w:pPr>
      <w:r>
        <w:rPr>
          <w:rFonts w:hint="eastAsia" w:ascii="宋体" w:hAnsi="宋体" w:cs="楷体"/>
          <w:color w:val="auto"/>
          <w:kern w:val="0"/>
          <w:sz w:val="22"/>
          <w:szCs w:val="22"/>
          <w:highlight w:val="none"/>
          <w:lang w:val="en-US" w:eastAsia="zh-CN"/>
        </w:rPr>
        <w:t>5.书面质疑受理地点：温州市瓯海区兴海路1号联众大厦5楼，联系人：熊先生 ，联系电话：13676780329</w:t>
      </w:r>
    </w:p>
    <w:p w14:paraId="077AFB35">
      <w:pPr>
        <w:widowControl/>
        <w:spacing w:line="324" w:lineRule="auto"/>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kern w:val="0"/>
          <w:sz w:val="22"/>
          <w:szCs w:val="22"/>
          <w:highlight w:val="none"/>
        </w:rPr>
        <w:t>十三、联系人及联系电话</w:t>
      </w:r>
    </w:p>
    <w:p w14:paraId="1403CE30">
      <w:pPr>
        <w:widowControl/>
        <w:spacing w:line="324" w:lineRule="auto"/>
        <w:ind w:firstLine="440" w:firstLineChars="20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采购人：</w:t>
      </w:r>
      <w:r>
        <w:rPr>
          <w:rFonts w:hint="eastAsia" w:ascii="新宋体" w:hAnsi="新宋体" w:eastAsia="新宋体" w:cs="新宋体"/>
          <w:color w:val="auto"/>
          <w:kern w:val="0"/>
          <w:sz w:val="22"/>
          <w:szCs w:val="22"/>
          <w:highlight w:val="none"/>
          <w:lang w:eastAsia="zh-CN"/>
        </w:rPr>
        <w:t>浙江东方职业技术学院</w:t>
      </w:r>
    </w:p>
    <w:p w14:paraId="7109C82C">
      <w:pPr>
        <w:widowControl/>
        <w:spacing w:line="324" w:lineRule="auto"/>
        <w:ind w:firstLine="440" w:firstLineChars="200"/>
        <w:jc w:val="left"/>
        <w:rPr>
          <w:rFonts w:hint="eastAsia" w:ascii="新宋体" w:hAnsi="新宋体" w:eastAsia="新宋体" w:cs="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地址：</w:t>
      </w:r>
      <w:r>
        <w:rPr>
          <w:rFonts w:hint="eastAsia" w:ascii="宋体" w:hAnsi="宋体" w:eastAsia="新宋体"/>
          <w:b w:val="0"/>
          <w:bCs w:val="0"/>
          <w:color w:val="auto"/>
          <w:sz w:val="22"/>
          <w:szCs w:val="22"/>
          <w:highlight w:val="none"/>
          <w:u w:val="none"/>
          <w:lang w:eastAsia="zh-CN"/>
        </w:rPr>
        <w:t>温州市经济技术开发区金海三道433号</w:t>
      </w:r>
    </w:p>
    <w:p w14:paraId="1F513DCB">
      <w:pPr>
        <w:widowControl/>
        <w:spacing w:line="324"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val="en-US" w:eastAsia="zh-CN"/>
        </w:rPr>
        <w:t>江先生</w:t>
      </w:r>
      <w:r>
        <w:rPr>
          <w:rFonts w:hint="eastAsia" w:ascii="新宋体" w:hAnsi="新宋体" w:eastAsia="新宋体" w:cs="新宋体"/>
          <w:color w:val="auto"/>
          <w:kern w:val="0"/>
          <w:sz w:val="22"/>
          <w:szCs w:val="22"/>
          <w:highlight w:val="none"/>
        </w:rPr>
        <w:t xml:space="preserve">  </w:t>
      </w:r>
    </w:p>
    <w:p w14:paraId="0ABC4754">
      <w:pPr>
        <w:widowControl/>
        <w:spacing w:line="324"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联系电话：</w:t>
      </w:r>
      <w:r>
        <w:rPr>
          <w:rFonts w:hint="eastAsia" w:ascii="新宋体" w:hAnsi="新宋体" w:eastAsia="新宋体" w:cs="新宋体"/>
          <w:color w:val="auto"/>
          <w:kern w:val="0"/>
          <w:sz w:val="22"/>
          <w:szCs w:val="22"/>
          <w:highlight w:val="none"/>
          <w:lang w:val="en-US" w:eastAsia="zh-CN"/>
        </w:rPr>
        <w:t>18334478306</w:t>
      </w:r>
    </w:p>
    <w:p w14:paraId="740905EE">
      <w:pPr>
        <w:widowControl/>
        <w:spacing w:line="324"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采购代理机构名称：温州市智信招标代理有限公司</w:t>
      </w:r>
    </w:p>
    <w:p w14:paraId="19355FF1">
      <w:pPr>
        <w:widowControl/>
        <w:spacing w:line="324" w:lineRule="auto"/>
        <w:ind w:firstLine="440" w:firstLineChars="20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color w:val="auto"/>
          <w:kern w:val="0"/>
          <w:sz w:val="22"/>
          <w:szCs w:val="22"/>
          <w:highlight w:val="none"/>
          <w:lang w:eastAsia="zh-CN"/>
        </w:rPr>
        <w:t>温州市瓯海区兴海路1号联众大厦5楼</w:t>
      </w:r>
    </w:p>
    <w:p w14:paraId="2FAE6A5B">
      <w:pPr>
        <w:widowControl/>
        <w:spacing w:line="324"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联系人：苏先生/叶先生</w:t>
      </w:r>
    </w:p>
    <w:p w14:paraId="5132FBAD">
      <w:pPr>
        <w:widowControl/>
        <w:spacing w:line="324"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联系电话： 13626506308/13958779970  传真: 0577-88270122</w:t>
      </w:r>
    </w:p>
    <w:p w14:paraId="2BEDF4CA">
      <w:pPr>
        <w:widowControl/>
        <w:spacing w:line="324"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采购监督管理部门：温州市现代服务业发展集团有限公司纪检监察室</w:t>
      </w:r>
    </w:p>
    <w:p w14:paraId="62D4B429">
      <w:pPr>
        <w:widowControl/>
        <w:spacing w:line="324"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联系人：何先生</w:t>
      </w:r>
    </w:p>
    <w:p w14:paraId="15106D60">
      <w:pPr>
        <w:widowControl/>
        <w:spacing w:line="324"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联系方式：0577-88160019</w:t>
      </w:r>
    </w:p>
    <w:p w14:paraId="3240C59B">
      <w:pPr>
        <w:widowControl/>
        <w:spacing w:line="324" w:lineRule="auto"/>
        <w:ind w:firstLine="440" w:firstLineChars="200"/>
        <w:jc w:val="left"/>
        <w:rPr>
          <w:rFonts w:hint="eastAsia" w:ascii="新宋体" w:hAnsi="新宋体" w:eastAsia="新宋体" w:cs="新宋体"/>
          <w:color w:val="auto"/>
          <w:kern w:val="0"/>
          <w:sz w:val="22"/>
          <w:szCs w:val="22"/>
          <w:highlight w:val="none"/>
        </w:rPr>
      </w:pPr>
    </w:p>
    <w:p w14:paraId="79E99AF4">
      <w:pPr>
        <w:widowControl/>
        <w:spacing w:line="324" w:lineRule="auto"/>
        <w:jc w:val="right"/>
        <w:rPr>
          <w:rFonts w:hint="eastAsia" w:ascii="新宋体" w:hAnsi="新宋体" w:eastAsia="新宋体" w:cs="新宋体"/>
          <w:color w:val="auto"/>
          <w:kern w:val="0"/>
          <w:sz w:val="22"/>
          <w:szCs w:val="22"/>
          <w:highlight w:val="none"/>
        </w:rPr>
      </w:pPr>
    </w:p>
    <w:p w14:paraId="11EA8611">
      <w:pPr>
        <w:widowControl/>
        <w:spacing w:line="324" w:lineRule="auto"/>
        <w:jc w:val="righ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浙江东方职业技术学院</w:t>
      </w:r>
    </w:p>
    <w:p w14:paraId="6D2604BA">
      <w:pPr>
        <w:widowControl/>
        <w:spacing w:line="324" w:lineRule="auto"/>
        <w:jc w:val="righ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温州市智信招标代理有限公司</w:t>
      </w:r>
    </w:p>
    <w:p w14:paraId="66904981">
      <w:pPr>
        <w:widowControl/>
        <w:spacing w:line="324" w:lineRule="auto"/>
        <w:jc w:val="righ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2026年</w:t>
      </w:r>
      <w:r>
        <w:rPr>
          <w:rFonts w:hint="eastAsia" w:ascii="新宋体" w:hAnsi="新宋体" w:eastAsia="新宋体" w:cs="新宋体"/>
          <w:color w:val="auto"/>
          <w:kern w:val="0"/>
          <w:sz w:val="22"/>
          <w:szCs w:val="22"/>
          <w:highlight w:val="none"/>
          <w:lang w:val="en-US" w:eastAsia="zh-CN"/>
        </w:rPr>
        <w:t>6</w:t>
      </w:r>
      <w:r>
        <w:rPr>
          <w:rFonts w:hint="eastAsia" w:ascii="新宋体" w:hAnsi="新宋体" w:eastAsia="新宋体" w:cs="新宋体"/>
          <w:color w:val="auto"/>
          <w:kern w:val="0"/>
          <w:sz w:val="22"/>
          <w:szCs w:val="22"/>
          <w:highlight w:val="none"/>
          <w:lang w:eastAsia="zh-CN"/>
        </w:rPr>
        <w:t>月</w:t>
      </w:r>
      <w:r>
        <w:rPr>
          <w:rFonts w:hint="eastAsia" w:ascii="新宋体" w:hAnsi="新宋体" w:eastAsia="新宋体" w:cs="新宋体"/>
          <w:color w:val="auto"/>
          <w:kern w:val="0"/>
          <w:sz w:val="22"/>
          <w:szCs w:val="22"/>
          <w:highlight w:val="none"/>
          <w:lang w:val="en-US" w:eastAsia="zh-CN"/>
        </w:rPr>
        <w:t>10</w:t>
      </w:r>
      <w:r>
        <w:rPr>
          <w:rFonts w:hint="eastAsia" w:ascii="新宋体" w:hAnsi="新宋体" w:eastAsia="新宋体" w:cs="新宋体"/>
          <w:color w:val="auto"/>
          <w:kern w:val="0"/>
          <w:sz w:val="22"/>
          <w:szCs w:val="22"/>
          <w:highlight w:val="none"/>
          <w:lang w:eastAsia="zh-CN"/>
        </w:rPr>
        <w:t>日</w:t>
      </w:r>
    </w:p>
    <w:p w14:paraId="4860D678">
      <w:pPr>
        <w:rPr>
          <w:rFonts w:hint="eastAsia" w:ascii="新宋体" w:hAnsi="新宋体" w:eastAsia="新宋体" w:cs="新宋体"/>
          <w:color w:val="auto"/>
          <w:sz w:val="32"/>
          <w:szCs w:val="32"/>
          <w:highlight w:val="none"/>
        </w:rPr>
      </w:pPr>
      <w:bookmarkStart w:id="5" w:name="_Toc71374668"/>
      <w:r>
        <w:rPr>
          <w:rFonts w:hint="eastAsia" w:ascii="新宋体" w:hAnsi="新宋体" w:eastAsia="新宋体" w:cs="新宋体"/>
          <w:color w:val="auto"/>
          <w:sz w:val="32"/>
          <w:szCs w:val="32"/>
          <w:highlight w:val="none"/>
        </w:rPr>
        <w:br w:type="page"/>
      </w:r>
    </w:p>
    <w:p w14:paraId="4610960E">
      <w:pPr>
        <w:pStyle w:val="4"/>
        <w:spacing w:line="360" w:lineRule="auto"/>
        <w:rPr>
          <w:rFonts w:hint="eastAsia" w:ascii="新宋体" w:hAnsi="新宋体" w:eastAsia="新宋体" w:cs="新宋体"/>
          <w:color w:val="auto"/>
          <w:sz w:val="32"/>
          <w:szCs w:val="32"/>
          <w:highlight w:val="none"/>
        </w:rPr>
      </w:pPr>
      <w:bookmarkStart w:id="6" w:name="_Toc18691"/>
      <w:r>
        <w:rPr>
          <w:rFonts w:hint="eastAsia" w:ascii="新宋体" w:hAnsi="新宋体" w:eastAsia="新宋体" w:cs="宋体"/>
          <w:color w:val="auto"/>
          <w:sz w:val="32"/>
          <w:szCs w:val="32"/>
          <w:highlight w:val="none"/>
        </w:rPr>
        <w:t>温州市现代集团所属</w:t>
      </w:r>
      <w:r>
        <w:rPr>
          <w:rFonts w:hint="eastAsia" w:ascii="新宋体" w:hAnsi="新宋体" w:eastAsia="新宋体" w:cs="新宋体"/>
          <w:color w:val="auto"/>
          <w:sz w:val="32"/>
          <w:szCs w:val="32"/>
          <w:highlight w:val="none"/>
          <w:lang w:eastAsia="zh-CN"/>
        </w:rPr>
        <w:t>浙江东方职业技术学院</w:t>
      </w:r>
      <w:r>
        <w:rPr>
          <w:rFonts w:hint="eastAsia" w:ascii="新宋体" w:hAnsi="新宋体" w:eastAsia="新宋体" w:cs="新宋体"/>
          <w:color w:val="auto"/>
          <w:sz w:val="32"/>
          <w:szCs w:val="32"/>
          <w:highlight w:val="none"/>
        </w:rPr>
        <w:t>关于</w:t>
      </w:r>
      <w:r>
        <w:rPr>
          <w:rFonts w:hint="eastAsia" w:ascii="新宋体" w:hAnsi="新宋体" w:eastAsia="新宋体" w:cs="新宋体"/>
          <w:color w:val="auto"/>
          <w:sz w:val="32"/>
          <w:szCs w:val="32"/>
          <w:highlight w:val="none"/>
          <w:lang w:eastAsia="zh-CN"/>
        </w:rPr>
        <w:t>滨海校区二期教室家具</w:t>
      </w:r>
      <w:r>
        <w:rPr>
          <w:rFonts w:hint="eastAsia" w:ascii="新宋体" w:hAnsi="新宋体" w:eastAsia="新宋体" w:cs="新宋体"/>
          <w:color w:val="auto"/>
          <w:sz w:val="32"/>
          <w:szCs w:val="32"/>
          <w:highlight w:val="none"/>
        </w:rPr>
        <w:t>项目</w:t>
      </w:r>
      <w:r>
        <w:rPr>
          <w:rFonts w:hint="eastAsia" w:ascii="新宋体" w:hAnsi="新宋体" w:eastAsia="新宋体" w:cs="新宋体"/>
          <w:color w:val="auto"/>
          <w:sz w:val="32"/>
          <w:szCs w:val="32"/>
          <w:highlight w:val="none"/>
          <w:lang w:val="en-US" w:eastAsia="zh-CN"/>
        </w:rPr>
        <w:t>(自主)</w:t>
      </w:r>
      <w:r>
        <w:rPr>
          <w:rFonts w:hint="eastAsia" w:ascii="新宋体" w:hAnsi="新宋体" w:eastAsia="新宋体" w:cs="新宋体"/>
          <w:color w:val="auto"/>
          <w:sz w:val="32"/>
          <w:szCs w:val="32"/>
          <w:highlight w:val="none"/>
        </w:rPr>
        <w:t>的征求意见公示</w:t>
      </w:r>
      <w:bookmarkEnd w:id="5"/>
      <w:bookmarkEnd w:id="6"/>
    </w:p>
    <w:p w14:paraId="05597679">
      <w:pPr>
        <w:pStyle w:val="2"/>
        <w:spacing w:line="360" w:lineRule="auto"/>
        <w:ind w:firstLine="0" w:firstLineChars="0"/>
        <w:rPr>
          <w:rFonts w:hint="eastAsia" w:ascii="新宋体" w:hAnsi="新宋体" w:eastAsia="新宋体"/>
          <w:color w:val="auto"/>
          <w:highlight w:val="none"/>
        </w:rPr>
      </w:pPr>
    </w:p>
    <w:p w14:paraId="5422BC33">
      <w:pPr>
        <w:widowControl/>
        <w:spacing w:line="360" w:lineRule="auto"/>
        <w:ind w:left="60" w:right="60" w:firstLine="435"/>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温州市智信招标代理有限公司就</w:t>
      </w:r>
      <w:r>
        <w:rPr>
          <w:rFonts w:hint="eastAsia" w:ascii="新宋体" w:hAnsi="新宋体" w:eastAsia="新宋体" w:cs="新宋体"/>
          <w:color w:val="auto"/>
          <w:kern w:val="0"/>
          <w:sz w:val="22"/>
          <w:szCs w:val="22"/>
          <w:highlight w:val="none"/>
          <w:lang w:eastAsia="zh-CN"/>
        </w:rPr>
        <w:t>浙江东方职业技术学院滨海校区二期教室家具</w:t>
      </w:r>
      <w:r>
        <w:rPr>
          <w:rFonts w:hint="eastAsia" w:ascii="新宋体" w:hAnsi="新宋体" w:eastAsia="新宋体" w:cs="新宋体"/>
          <w:color w:val="auto"/>
          <w:kern w:val="0"/>
          <w:sz w:val="22"/>
          <w:szCs w:val="22"/>
          <w:highlight w:val="none"/>
        </w:rPr>
        <w:t>项目以公开招标方式进行国有企业采购。现将采购文件公布如下,并公开征求供应商及专家意见。</w:t>
      </w:r>
    </w:p>
    <w:p w14:paraId="539ACBDD">
      <w:pPr>
        <w:widowControl/>
        <w:spacing w:line="360" w:lineRule="auto"/>
        <w:ind w:left="60" w:right="60" w:firstLine="435"/>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一、征求意见范围：</w:t>
      </w:r>
    </w:p>
    <w:p w14:paraId="748BC73B">
      <w:pPr>
        <w:widowControl/>
        <w:spacing w:line="360" w:lineRule="auto"/>
        <w:ind w:left="60" w:right="60" w:firstLine="435"/>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1.是否出现明显的倾向性意见和特定的性能指标；</w:t>
      </w:r>
    </w:p>
    <w:p w14:paraId="31671C7E">
      <w:pPr>
        <w:widowControl/>
        <w:spacing w:line="360" w:lineRule="auto"/>
        <w:ind w:left="60" w:right="60" w:firstLine="435"/>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2.供应商资格条件是否具有明显倾向性和歧视性；</w:t>
      </w:r>
    </w:p>
    <w:p w14:paraId="5BBCE391">
      <w:pPr>
        <w:widowControl/>
        <w:spacing w:line="360" w:lineRule="auto"/>
        <w:ind w:left="60" w:right="60" w:firstLine="435"/>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3.影响国有企业采购“公开、公平、公正”原则的其他情况。 </w:t>
      </w:r>
    </w:p>
    <w:p w14:paraId="78730AB0">
      <w:pPr>
        <w:widowControl/>
        <w:spacing w:line="360" w:lineRule="auto"/>
        <w:ind w:left="60" w:right="60" w:firstLine="435"/>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二、征求意见的回复：</w:t>
      </w:r>
    </w:p>
    <w:p w14:paraId="706DFA0C">
      <w:pPr>
        <w:widowControl/>
        <w:spacing w:line="360" w:lineRule="auto"/>
        <w:ind w:left="60" w:right="60" w:firstLine="435"/>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各供应商及专家提出修改理由和建议的，请于202</w:t>
      </w:r>
      <w:r>
        <w:rPr>
          <w:rFonts w:hint="eastAsia" w:ascii="新宋体" w:hAnsi="新宋体" w:eastAsia="新宋体" w:cs="新宋体"/>
          <w:color w:val="auto"/>
          <w:kern w:val="0"/>
          <w:sz w:val="22"/>
          <w:szCs w:val="22"/>
          <w:highlight w:val="none"/>
          <w:lang w:val="en-US" w:eastAsia="zh-CN"/>
        </w:rPr>
        <w:t>6</w:t>
      </w:r>
      <w:r>
        <w:rPr>
          <w:rFonts w:hint="eastAsia" w:ascii="新宋体" w:hAnsi="新宋体" w:eastAsia="新宋体" w:cs="新宋体"/>
          <w:color w:val="auto"/>
          <w:kern w:val="0"/>
          <w:sz w:val="22"/>
          <w:szCs w:val="22"/>
          <w:highlight w:val="none"/>
        </w:rPr>
        <w:t>年</w:t>
      </w:r>
      <w:r>
        <w:rPr>
          <w:rFonts w:hint="eastAsia" w:ascii="新宋体" w:hAnsi="新宋体" w:eastAsia="新宋体" w:cs="新宋体"/>
          <w:color w:val="auto"/>
          <w:kern w:val="0"/>
          <w:sz w:val="22"/>
          <w:szCs w:val="22"/>
          <w:highlight w:val="none"/>
          <w:lang w:val="en-US" w:eastAsia="zh-CN"/>
        </w:rPr>
        <w:t>6</w:t>
      </w:r>
      <w:r>
        <w:rPr>
          <w:rFonts w:hint="eastAsia" w:ascii="新宋体" w:hAnsi="新宋体" w:eastAsia="新宋体" w:cs="新宋体"/>
          <w:color w:val="auto"/>
          <w:kern w:val="0"/>
          <w:sz w:val="22"/>
          <w:szCs w:val="22"/>
          <w:highlight w:val="none"/>
        </w:rPr>
        <w:t>月</w:t>
      </w:r>
      <w:r>
        <w:rPr>
          <w:rFonts w:hint="eastAsia" w:ascii="新宋体" w:hAnsi="新宋体" w:eastAsia="新宋体" w:cs="新宋体"/>
          <w:color w:val="auto"/>
          <w:kern w:val="0"/>
          <w:sz w:val="22"/>
          <w:szCs w:val="22"/>
          <w:highlight w:val="none"/>
          <w:lang w:val="en-US" w:eastAsia="zh-CN"/>
        </w:rPr>
        <w:t>15</w:t>
      </w:r>
      <w:r>
        <w:rPr>
          <w:rFonts w:hint="eastAsia" w:ascii="新宋体" w:hAnsi="新宋体" w:eastAsia="新宋体" w:cs="新宋体"/>
          <w:color w:val="auto"/>
          <w:kern w:val="0"/>
          <w:sz w:val="22"/>
          <w:szCs w:val="22"/>
          <w:highlight w:val="none"/>
        </w:rPr>
        <w:t>日下午17:00前（节假日除外）将书面材料签字（盖章）并密封后送至</w:t>
      </w:r>
      <w:r>
        <w:rPr>
          <w:rFonts w:hint="eastAsia" w:ascii="新宋体" w:hAnsi="新宋体" w:eastAsia="新宋体" w:cs="新宋体"/>
          <w:color w:val="auto"/>
          <w:kern w:val="0"/>
          <w:sz w:val="22"/>
          <w:szCs w:val="22"/>
          <w:highlight w:val="none"/>
          <w:lang w:eastAsia="zh-CN"/>
        </w:rPr>
        <w:t>温州市瓯海区兴海路1号联众大厦5楼</w:t>
      </w:r>
      <w:r>
        <w:rPr>
          <w:rFonts w:hint="eastAsia" w:ascii="新宋体" w:hAnsi="新宋体" w:eastAsia="新宋体" w:cs="新宋体"/>
          <w:color w:val="auto"/>
          <w:kern w:val="0"/>
          <w:sz w:val="22"/>
          <w:szCs w:val="22"/>
          <w:highlight w:val="none"/>
        </w:rPr>
        <w:t>，外地可传真送达，传真：0577-88270122，传真件必须签字（盖章）。同时将电子文档发送至以下信箱：43759625@qq.com 。</w:t>
      </w:r>
    </w:p>
    <w:p w14:paraId="461E7ECB">
      <w:pPr>
        <w:widowControl/>
        <w:spacing w:line="360" w:lineRule="auto"/>
        <w:ind w:left="60" w:right="60" w:firstLine="435"/>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联系人：熊先生 联系电话：13676780329。对逾期送达的意见、建议书恕不接受。</w:t>
      </w:r>
    </w:p>
    <w:p w14:paraId="1AF302E5">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三、相关附件：</w:t>
      </w:r>
    </w:p>
    <w:p w14:paraId="77C2DA2A">
      <w:pPr>
        <w:widowControl/>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采购文件</w:t>
      </w:r>
    </w:p>
    <w:p w14:paraId="09386856">
      <w:pPr>
        <w:pStyle w:val="2"/>
        <w:ind w:firstLine="200"/>
        <w:rPr>
          <w:color w:val="auto"/>
          <w:highlight w:val="none"/>
        </w:rPr>
      </w:pPr>
    </w:p>
    <w:p w14:paraId="54074E15">
      <w:pPr>
        <w:widowControl/>
        <w:spacing w:line="360" w:lineRule="auto"/>
        <w:jc w:val="right"/>
        <w:rPr>
          <w:rFonts w:hint="eastAsia"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14:paraId="374B673A">
      <w:pPr>
        <w:widowControl/>
        <w:spacing w:line="360" w:lineRule="auto"/>
        <w:jc w:val="right"/>
        <w:rPr>
          <w:rFonts w:hint="eastAsia"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14:paraId="62C3EF9D">
      <w:pPr>
        <w:widowControl/>
        <w:spacing w:line="360" w:lineRule="auto"/>
        <w:jc w:val="right"/>
        <w:rPr>
          <w:rFonts w:hint="eastAsia"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14:paraId="11CC482F">
      <w:pPr>
        <w:widowControl/>
        <w:spacing w:line="360" w:lineRule="auto"/>
        <w:jc w:val="right"/>
        <w:rPr>
          <w:rFonts w:hint="eastAsia"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14:paraId="64F9E6FF">
      <w:pPr>
        <w:widowControl/>
        <w:spacing w:line="360" w:lineRule="auto"/>
        <w:jc w:val="righ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kern w:val="0"/>
          <w:sz w:val="22"/>
          <w:szCs w:val="22"/>
          <w:highlight w:val="none"/>
          <w:lang w:eastAsia="zh-CN"/>
        </w:rPr>
        <w:t>浙江东方职业技术学院</w:t>
      </w:r>
    </w:p>
    <w:p w14:paraId="621FC01E">
      <w:pPr>
        <w:widowControl/>
        <w:spacing w:line="360" w:lineRule="auto"/>
        <w:jc w:val="right"/>
        <w:rPr>
          <w:rFonts w:hint="eastAsia"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温州市智信招标代理有限公司</w:t>
      </w:r>
    </w:p>
    <w:p w14:paraId="756B7027">
      <w:pPr>
        <w:widowControl/>
        <w:spacing w:line="324" w:lineRule="auto"/>
        <w:jc w:val="righ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2026年</w:t>
      </w:r>
      <w:r>
        <w:rPr>
          <w:rFonts w:hint="eastAsia" w:ascii="新宋体" w:hAnsi="新宋体" w:eastAsia="新宋体" w:cs="新宋体"/>
          <w:color w:val="auto"/>
          <w:kern w:val="0"/>
          <w:sz w:val="22"/>
          <w:szCs w:val="22"/>
          <w:highlight w:val="none"/>
          <w:lang w:val="en-US" w:eastAsia="zh-CN"/>
        </w:rPr>
        <w:t>6</w:t>
      </w:r>
      <w:r>
        <w:rPr>
          <w:rFonts w:hint="eastAsia" w:ascii="新宋体" w:hAnsi="新宋体" w:eastAsia="新宋体" w:cs="新宋体"/>
          <w:color w:val="auto"/>
          <w:kern w:val="0"/>
          <w:sz w:val="22"/>
          <w:szCs w:val="22"/>
          <w:highlight w:val="none"/>
          <w:lang w:eastAsia="zh-CN"/>
        </w:rPr>
        <w:t>月</w:t>
      </w:r>
      <w:r>
        <w:rPr>
          <w:rFonts w:hint="eastAsia" w:ascii="新宋体" w:hAnsi="新宋体" w:eastAsia="新宋体" w:cs="新宋体"/>
          <w:color w:val="auto"/>
          <w:kern w:val="0"/>
          <w:sz w:val="22"/>
          <w:szCs w:val="22"/>
          <w:highlight w:val="none"/>
          <w:lang w:val="en-US" w:eastAsia="zh-CN"/>
        </w:rPr>
        <w:t>10</w:t>
      </w:r>
      <w:r>
        <w:rPr>
          <w:rFonts w:hint="eastAsia" w:ascii="新宋体" w:hAnsi="新宋体" w:eastAsia="新宋体" w:cs="新宋体"/>
          <w:color w:val="auto"/>
          <w:kern w:val="0"/>
          <w:sz w:val="22"/>
          <w:szCs w:val="22"/>
          <w:highlight w:val="none"/>
          <w:lang w:eastAsia="zh-CN"/>
        </w:rPr>
        <w:t>日</w:t>
      </w:r>
    </w:p>
    <w:p w14:paraId="50507AC2">
      <w:pPr>
        <w:widowControl/>
        <w:spacing w:line="360" w:lineRule="auto"/>
        <w:jc w:val="right"/>
        <w:rPr>
          <w:rFonts w:hint="eastAsia" w:ascii="新宋体" w:hAnsi="新宋体" w:eastAsia="新宋体" w:cs="新宋体"/>
          <w:color w:val="auto"/>
          <w:szCs w:val="21"/>
          <w:highlight w:val="none"/>
        </w:rPr>
      </w:pPr>
    </w:p>
    <w:p w14:paraId="14014F2E">
      <w:pPr>
        <w:widowControl/>
        <w:spacing w:line="360" w:lineRule="auto"/>
        <w:jc w:val="right"/>
        <w:rPr>
          <w:rFonts w:hint="eastAsia" w:ascii="新宋体" w:hAnsi="新宋体" w:eastAsia="新宋体" w:cs="新宋体"/>
          <w:color w:val="auto"/>
          <w:szCs w:val="21"/>
          <w:highlight w:val="none"/>
        </w:rPr>
      </w:pPr>
    </w:p>
    <w:p w14:paraId="114742B9">
      <w:pPr>
        <w:widowControl/>
        <w:spacing w:line="360" w:lineRule="auto"/>
        <w:jc w:val="right"/>
        <w:rPr>
          <w:rFonts w:hint="eastAsia" w:ascii="新宋体" w:hAnsi="新宋体" w:eastAsia="新宋体" w:cs="新宋体"/>
          <w:color w:val="auto"/>
          <w:szCs w:val="21"/>
          <w:highlight w:val="none"/>
        </w:rPr>
      </w:pPr>
    </w:p>
    <w:p w14:paraId="6786C6C8">
      <w:pPr>
        <w:rPr>
          <w:rFonts w:hint="eastAsia" w:ascii="新宋体" w:hAnsi="新宋体" w:eastAsia="新宋体" w:cs="新宋体"/>
          <w:color w:val="auto"/>
          <w:sz w:val="36"/>
          <w:szCs w:val="36"/>
          <w:highlight w:val="none"/>
        </w:rPr>
      </w:pPr>
      <w:bookmarkStart w:id="7" w:name="_Toc71374669"/>
      <w:bookmarkStart w:id="8" w:name="_Toc21388"/>
      <w:r>
        <w:rPr>
          <w:rFonts w:hint="eastAsia" w:ascii="新宋体" w:hAnsi="新宋体" w:eastAsia="新宋体" w:cs="新宋体"/>
          <w:color w:val="auto"/>
          <w:sz w:val="36"/>
          <w:szCs w:val="36"/>
          <w:highlight w:val="none"/>
        </w:rPr>
        <w:br w:type="page"/>
      </w:r>
    </w:p>
    <w:p w14:paraId="75D770B8">
      <w:pPr>
        <w:pStyle w:val="4"/>
        <w:rPr>
          <w:rFonts w:hint="eastAsia" w:ascii="新宋体" w:hAnsi="新宋体" w:eastAsia="新宋体" w:cs="新宋体"/>
          <w:color w:val="auto"/>
          <w:sz w:val="36"/>
          <w:szCs w:val="36"/>
          <w:highlight w:val="none"/>
        </w:rPr>
      </w:pPr>
      <w:r>
        <w:rPr>
          <w:rFonts w:hint="eastAsia" w:ascii="新宋体" w:hAnsi="新宋体" w:eastAsia="新宋体" w:cs="新宋体"/>
          <w:color w:val="auto"/>
          <w:sz w:val="36"/>
          <w:szCs w:val="36"/>
          <w:highlight w:val="none"/>
        </w:rPr>
        <w:t>投标供应商须知前附表</w:t>
      </w:r>
      <w:bookmarkEnd w:id="7"/>
      <w:bookmarkEnd w:id="8"/>
    </w:p>
    <w:tbl>
      <w:tblPr>
        <w:tblStyle w:val="26"/>
        <w:tblW w:w="0" w:type="auto"/>
        <w:tblInd w:w="0" w:type="dxa"/>
        <w:tblLayout w:type="fixed"/>
        <w:tblCellMar>
          <w:top w:w="0" w:type="dxa"/>
          <w:left w:w="108" w:type="dxa"/>
          <w:bottom w:w="0" w:type="dxa"/>
          <w:right w:w="108" w:type="dxa"/>
        </w:tblCellMar>
      </w:tblPr>
      <w:tblGrid>
        <w:gridCol w:w="1036"/>
        <w:gridCol w:w="12"/>
        <w:gridCol w:w="1531"/>
        <w:gridCol w:w="7275"/>
      </w:tblGrid>
      <w:tr w14:paraId="0D104805">
        <w:tblPrEx>
          <w:tblCellMar>
            <w:top w:w="0" w:type="dxa"/>
            <w:left w:w="108" w:type="dxa"/>
            <w:bottom w:w="0" w:type="dxa"/>
            <w:right w:w="108" w:type="dxa"/>
          </w:tblCellMar>
        </w:tblPrEx>
        <w:trPr>
          <w:trHeight w:val="669" w:hRule="atLeast"/>
          <w:tblHeader/>
        </w:trPr>
        <w:tc>
          <w:tcPr>
            <w:tcW w:w="1048" w:type="dxa"/>
            <w:gridSpan w:val="2"/>
            <w:tcBorders>
              <w:top w:val="single" w:color="auto" w:sz="4" w:space="0"/>
              <w:left w:val="single" w:color="auto" w:sz="4" w:space="0"/>
              <w:bottom w:val="single" w:color="auto" w:sz="4" w:space="0"/>
              <w:right w:val="single" w:color="auto" w:sz="4" w:space="0"/>
            </w:tcBorders>
            <w:vAlign w:val="center"/>
          </w:tcPr>
          <w:p w14:paraId="650C47EA">
            <w:pPr>
              <w:spacing w:line="312" w:lineRule="auto"/>
              <w:jc w:val="center"/>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序号</w:t>
            </w:r>
          </w:p>
        </w:tc>
        <w:tc>
          <w:tcPr>
            <w:tcW w:w="1531" w:type="dxa"/>
            <w:tcBorders>
              <w:top w:val="single" w:color="auto" w:sz="4" w:space="0"/>
              <w:left w:val="single" w:color="auto" w:sz="4" w:space="0"/>
              <w:bottom w:val="single" w:color="auto" w:sz="4" w:space="0"/>
              <w:right w:val="single" w:color="auto" w:sz="4" w:space="0"/>
            </w:tcBorders>
            <w:vAlign w:val="center"/>
          </w:tcPr>
          <w:p w14:paraId="232FCCA1">
            <w:pPr>
              <w:spacing w:line="312" w:lineRule="auto"/>
              <w:jc w:val="center"/>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条款名称</w:t>
            </w:r>
          </w:p>
        </w:tc>
        <w:tc>
          <w:tcPr>
            <w:tcW w:w="7275" w:type="dxa"/>
            <w:tcBorders>
              <w:top w:val="single" w:color="auto" w:sz="4" w:space="0"/>
              <w:left w:val="single" w:color="auto" w:sz="4" w:space="0"/>
              <w:bottom w:val="single" w:color="auto" w:sz="4" w:space="0"/>
              <w:right w:val="single" w:color="auto" w:sz="4" w:space="0"/>
            </w:tcBorders>
            <w:vAlign w:val="center"/>
          </w:tcPr>
          <w:p w14:paraId="7BC9F02F">
            <w:pPr>
              <w:spacing w:line="312" w:lineRule="auto"/>
              <w:jc w:val="center"/>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编列内容</w:t>
            </w:r>
          </w:p>
        </w:tc>
      </w:tr>
      <w:tr w14:paraId="47DF9842">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44A78E8E">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w:t>
            </w:r>
          </w:p>
        </w:tc>
        <w:tc>
          <w:tcPr>
            <w:tcW w:w="1531" w:type="dxa"/>
            <w:tcBorders>
              <w:top w:val="single" w:color="auto" w:sz="4" w:space="0"/>
              <w:left w:val="single" w:color="auto" w:sz="4" w:space="0"/>
              <w:bottom w:val="single" w:color="auto" w:sz="4" w:space="0"/>
              <w:right w:val="single" w:color="auto" w:sz="4" w:space="0"/>
            </w:tcBorders>
            <w:vAlign w:val="center"/>
          </w:tcPr>
          <w:p w14:paraId="6B14B3E7">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采购人</w:t>
            </w:r>
          </w:p>
        </w:tc>
        <w:tc>
          <w:tcPr>
            <w:tcW w:w="7275" w:type="dxa"/>
            <w:tcBorders>
              <w:top w:val="single" w:color="auto" w:sz="4" w:space="0"/>
              <w:left w:val="single" w:color="auto" w:sz="4" w:space="0"/>
              <w:bottom w:val="single" w:color="auto" w:sz="4" w:space="0"/>
              <w:right w:val="single" w:color="auto" w:sz="4" w:space="0"/>
            </w:tcBorders>
            <w:vAlign w:val="center"/>
          </w:tcPr>
          <w:p w14:paraId="1446885A">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采购人：</w:t>
            </w:r>
            <w:r>
              <w:rPr>
                <w:rFonts w:hint="eastAsia" w:ascii="新宋体" w:hAnsi="新宋体" w:eastAsia="新宋体" w:cs="新宋体"/>
                <w:color w:val="auto"/>
                <w:kern w:val="0"/>
                <w:sz w:val="22"/>
                <w:szCs w:val="22"/>
                <w:highlight w:val="none"/>
                <w:lang w:eastAsia="zh-CN"/>
              </w:rPr>
              <w:t>浙江东方职业技术学院</w:t>
            </w:r>
            <w:r>
              <w:rPr>
                <w:rFonts w:hint="eastAsia" w:ascii="新宋体" w:hAnsi="新宋体" w:eastAsia="新宋体" w:cs="新宋体"/>
                <w:color w:val="auto"/>
                <w:kern w:val="0"/>
                <w:sz w:val="22"/>
                <w:szCs w:val="22"/>
                <w:highlight w:val="none"/>
              </w:rPr>
              <w:t xml:space="preserve"> </w:t>
            </w:r>
          </w:p>
          <w:p w14:paraId="40F72F6A">
            <w:pPr>
              <w:spacing w:line="312" w:lineRule="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地址：</w:t>
            </w:r>
            <w:r>
              <w:rPr>
                <w:rFonts w:hint="eastAsia" w:ascii="宋体" w:hAnsi="宋体" w:eastAsia="新宋体"/>
                <w:b w:val="0"/>
                <w:bCs w:val="0"/>
                <w:color w:val="auto"/>
                <w:sz w:val="22"/>
                <w:szCs w:val="22"/>
                <w:highlight w:val="none"/>
                <w:u w:val="none"/>
                <w:lang w:eastAsia="zh-CN"/>
              </w:rPr>
              <w:t>温州市经济技术开发区金海三道433号</w:t>
            </w:r>
          </w:p>
          <w:p w14:paraId="3B7D9D84">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eastAsia="zh-CN"/>
              </w:rPr>
              <w:t>江先生</w:t>
            </w:r>
            <w:r>
              <w:rPr>
                <w:rFonts w:hint="eastAsia" w:ascii="新宋体" w:hAnsi="新宋体" w:eastAsia="新宋体" w:cs="新宋体"/>
                <w:color w:val="auto"/>
                <w:kern w:val="0"/>
                <w:sz w:val="22"/>
                <w:szCs w:val="22"/>
                <w:highlight w:val="none"/>
              </w:rPr>
              <w:t xml:space="preserve">  </w:t>
            </w:r>
          </w:p>
          <w:p w14:paraId="0DAD5FB5">
            <w:pPr>
              <w:spacing w:line="312" w:lineRule="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联系电话：</w:t>
            </w:r>
            <w:r>
              <w:rPr>
                <w:rFonts w:hint="eastAsia" w:ascii="新宋体" w:hAnsi="新宋体" w:eastAsia="新宋体" w:cs="新宋体"/>
                <w:color w:val="auto"/>
                <w:kern w:val="0"/>
                <w:sz w:val="22"/>
                <w:szCs w:val="22"/>
                <w:highlight w:val="none"/>
                <w:lang w:eastAsia="zh-CN"/>
              </w:rPr>
              <w:t>18334478306</w:t>
            </w:r>
          </w:p>
        </w:tc>
      </w:tr>
      <w:tr w14:paraId="6CEAB8E9">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67E0E5EE">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w:t>
            </w:r>
          </w:p>
        </w:tc>
        <w:tc>
          <w:tcPr>
            <w:tcW w:w="1531" w:type="dxa"/>
            <w:tcBorders>
              <w:top w:val="single" w:color="auto" w:sz="4" w:space="0"/>
              <w:left w:val="single" w:color="auto" w:sz="4" w:space="0"/>
              <w:bottom w:val="single" w:color="auto" w:sz="4" w:space="0"/>
              <w:right w:val="single" w:color="auto" w:sz="4" w:space="0"/>
            </w:tcBorders>
            <w:vAlign w:val="center"/>
          </w:tcPr>
          <w:p w14:paraId="39E1C004">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采购代理机构</w:t>
            </w:r>
          </w:p>
        </w:tc>
        <w:tc>
          <w:tcPr>
            <w:tcW w:w="7275" w:type="dxa"/>
            <w:tcBorders>
              <w:top w:val="single" w:color="auto" w:sz="4" w:space="0"/>
              <w:left w:val="single" w:color="auto" w:sz="4" w:space="0"/>
              <w:bottom w:val="single" w:color="auto" w:sz="4" w:space="0"/>
              <w:right w:val="single" w:color="auto" w:sz="4" w:space="0"/>
            </w:tcBorders>
            <w:vAlign w:val="center"/>
          </w:tcPr>
          <w:p w14:paraId="24902A27">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代理机构名称：温州市智信招标代理有限公司</w:t>
            </w:r>
          </w:p>
          <w:p w14:paraId="49ADE5B2">
            <w:pPr>
              <w:spacing w:line="312" w:lineRule="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color w:val="auto"/>
                <w:kern w:val="0"/>
                <w:sz w:val="22"/>
                <w:szCs w:val="22"/>
                <w:highlight w:val="none"/>
                <w:lang w:eastAsia="zh-CN"/>
              </w:rPr>
              <w:t>温州市瓯海区兴海路1号联众大厦5楼</w:t>
            </w:r>
          </w:p>
          <w:p w14:paraId="2F51BB1A">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联系人：苏先生/叶先生</w:t>
            </w:r>
          </w:p>
          <w:p w14:paraId="6D839B53">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联系电话： 13626506308/13958779970</w:t>
            </w:r>
          </w:p>
        </w:tc>
      </w:tr>
      <w:tr w14:paraId="79A29DDE">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03C4A2EE">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1531" w:type="dxa"/>
            <w:tcBorders>
              <w:top w:val="single" w:color="auto" w:sz="4" w:space="0"/>
              <w:left w:val="single" w:color="auto" w:sz="4" w:space="0"/>
              <w:bottom w:val="single" w:color="auto" w:sz="4" w:space="0"/>
              <w:right w:val="single" w:color="auto" w:sz="4" w:space="0"/>
            </w:tcBorders>
            <w:vAlign w:val="center"/>
          </w:tcPr>
          <w:p w14:paraId="29AB47AC">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项目名称及编号</w:t>
            </w:r>
          </w:p>
        </w:tc>
        <w:tc>
          <w:tcPr>
            <w:tcW w:w="7275" w:type="dxa"/>
            <w:tcBorders>
              <w:top w:val="single" w:color="auto" w:sz="4" w:space="0"/>
              <w:left w:val="single" w:color="auto" w:sz="4" w:space="0"/>
              <w:bottom w:val="single" w:color="auto" w:sz="4" w:space="0"/>
              <w:right w:val="single" w:color="auto" w:sz="4" w:space="0"/>
            </w:tcBorders>
            <w:vAlign w:val="center"/>
          </w:tcPr>
          <w:p w14:paraId="2AE968B4">
            <w:pPr>
              <w:spacing w:line="312" w:lineRule="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 xml:space="preserve">项目名称: </w:t>
            </w:r>
            <w:r>
              <w:rPr>
                <w:rFonts w:hint="eastAsia" w:ascii="新宋体" w:hAnsi="新宋体" w:eastAsia="新宋体" w:cs="新宋体"/>
                <w:color w:val="auto"/>
                <w:kern w:val="0"/>
                <w:sz w:val="22"/>
                <w:szCs w:val="22"/>
                <w:highlight w:val="none"/>
                <w:lang w:eastAsia="zh-CN"/>
              </w:rPr>
              <w:t>滨海校区二期教室家具</w:t>
            </w:r>
          </w:p>
          <w:p w14:paraId="57628559">
            <w:pPr>
              <w:spacing w:line="312" w:lineRule="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项目编号：</w:t>
            </w:r>
            <w:r>
              <w:rPr>
                <w:rFonts w:hint="eastAsia" w:ascii="新宋体" w:hAnsi="新宋体" w:eastAsia="新宋体" w:cs="新宋体"/>
                <w:b w:val="0"/>
                <w:bCs w:val="0"/>
                <w:color w:val="auto"/>
                <w:kern w:val="0"/>
                <w:sz w:val="22"/>
                <w:szCs w:val="22"/>
                <w:highlight w:val="none"/>
                <w:lang w:eastAsia="zh-CN"/>
              </w:rPr>
              <w:t>WGSS-XDJT-Z-2026028</w:t>
            </w:r>
            <w:r>
              <w:rPr>
                <w:rFonts w:hint="eastAsia" w:ascii="新宋体" w:hAnsi="新宋体" w:eastAsia="新宋体" w:cs="新宋体"/>
                <w:color w:val="auto"/>
                <w:spacing w:val="40"/>
                <w:sz w:val="22"/>
                <w:szCs w:val="22"/>
                <w:highlight w:val="none"/>
                <w:lang w:val="en-US" w:eastAsia="zh-CN"/>
              </w:rPr>
              <w:t xml:space="preserve"> </w:t>
            </w:r>
          </w:p>
        </w:tc>
      </w:tr>
      <w:tr w14:paraId="0463F7B6">
        <w:tblPrEx>
          <w:tblCellMar>
            <w:top w:w="0" w:type="dxa"/>
            <w:left w:w="108" w:type="dxa"/>
            <w:bottom w:w="0" w:type="dxa"/>
            <w:right w:w="108" w:type="dxa"/>
          </w:tblCellMar>
        </w:tblPrEx>
        <w:trPr>
          <w:trHeight w:val="82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6E8F351F">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w:t>
            </w:r>
          </w:p>
        </w:tc>
        <w:tc>
          <w:tcPr>
            <w:tcW w:w="1531" w:type="dxa"/>
            <w:tcBorders>
              <w:top w:val="single" w:color="auto" w:sz="4" w:space="0"/>
              <w:left w:val="single" w:color="auto" w:sz="4" w:space="0"/>
              <w:bottom w:val="single" w:color="auto" w:sz="4" w:space="0"/>
              <w:right w:val="single" w:color="auto" w:sz="4" w:space="0"/>
            </w:tcBorders>
            <w:vAlign w:val="center"/>
          </w:tcPr>
          <w:p w14:paraId="06F5E0A0">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采购内容</w:t>
            </w:r>
          </w:p>
        </w:tc>
        <w:tc>
          <w:tcPr>
            <w:tcW w:w="7275" w:type="dxa"/>
            <w:tcBorders>
              <w:top w:val="single" w:color="auto" w:sz="4" w:space="0"/>
              <w:left w:val="single" w:color="auto" w:sz="4" w:space="0"/>
              <w:bottom w:val="single" w:color="auto" w:sz="4" w:space="0"/>
              <w:right w:val="single" w:color="auto" w:sz="4" w:space="0"/>
            </w:tcBorders>
            <w:vAlign w:val="center"/>
          </w:tcPr>
          <w:p w14:paraId="21B6FF11">
            <w:pPr>
              <w:spacing w:line="312" w:lineRule="auto"/>
              <w:rPr>
                <w:rFonts w:hint="default" w:ascii="新宋体" w:hAnsi="新宋体" w:eastAsia="宋体" w:cs="新宋体"/>
                <w:color w:val="auto"/>
                <w:kern w:val="0"/>
                <w:sz w:val="22"/>
                <w:szCs w:val="22"/>
                <w:highlight w:val="none"/>
                <w:lang w:val="en-US" w:eastAsia="zh-CN"/>
              </w:rPr>
            </w:pPr>
            <w:r>
              <w:rPr>
                <w:rFonts w:hint="eastAsia" w:ascii="新宋体" w:hAnsi="新宋体" w:cs="新宋体"/>
                <w:color w:val="auto"/>
                <w:kern w:val="0"/>
                <w:sz w:val="22"/>
                <w:szCs w:val="22"/>
                <w:highlight w:val="none"/>
                <w:lang w:eastAsia="zh-CN"/>
              </w:rPr>
              <w:t>滨海校区二期教室家具</w:t>
            </w:r>
            <w:r>
              <w:rPr>
                <w:rFonts w:hint="eastAsia" w:ascii="新宋体" w:hAnsi="新宋体" w:cs="新宋体"/>
                <w:color w:val="auto"/>
                <w:kern w:val="0"/>
                <w:sz w:val="22"/>
                <w:szCs w:val="22"/>
                <w:highlight w:val="none"/>
                <w:lang w:val="en-US" w:eastAsia="zh-CN"/>
              </w:rPr>
              <w:t>一批</w:t>
            </w:r>
            <w:r>
              <w:rPr>
                <w:rFonts w:ascii="新宋体" w:hAnsi="新宋体" w:cs="新宋体"/>
                <w:color w:val="auto"/>
                <w:kern w:val="0"/>
                <w:sz w:val="22"/>
                <w:szCs w:val="22"/>
                <w:highlight w:val="none"/>
              </w:rPr>
              <w:t>，具体采购内容及详细技术要求见采购文件相关部分。</w:t>
            </w:r>
            <w:r>
              <w:rPr>
                <w:rFonts w:hint="eastAsia" w:ascii="新宋体" w:hAnsi="新宋体" w:cs="新宋体"/>
                <w:color w:val="auto"/>
                <w:kern w:val="0"/>
                <w:sz w:val="22"/>
                <w:szCs w:val="22"/>
                <w:highlight w:val="none"/>
              </w:rPr>
              <w:t>预算金额</w:t>
            </w:r>
            <w:r>
              <w:rPr>
                <w:rFonts w:hint="eastAsia" w:ascii="新宋体" w:hAnsi="新宋体" w:cs="新宋体"/>
                <w:color w:val="auto"/>
                <w:kern w:val="0"/>
                <w:sz w:val="22"/>
                <w:szCs w:val="22"/>
                <w:highlight w:val="none"/>
                <w:lang w:val="en-US" w:eastAsia="zh-CN"/>
              </w:rPr>
              <w:t>62万元。</w:t>
            </w:r>
          </w:p>
        </w:tc>
      </w:tr>
      <w:tr w14:paraId="7CFDF0CC">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0A22AE01">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w:t>
            </w:r>
          </w:p>
        </w:tc>
        <w:tc>
          <w:tcPr>
            <w:tcW w:w="1531" w:type="dxa"/>
            <w:tcBorders>
              <w:top w:val="single" w:color="auto" w:sz="4" w:space="0"/>
              <w:left w:val="single" w:color="auto" w:sz="4" w:space="0"/>
              <w:bottom w:val="single" w:color="auto" w:sz="4" w:space="0"/>
              <w:right w:val="single" w:color="auto" w:sz="4" w:space="0"/>
            </w:tcBorders>
            <w:vAlign w:val="center"/>
          </w:tcPr>
          <w:p w14:paraId="6F7A0845">
            <w:pPr>
              <w:keepNext w:val="0"/>
              <w:keepLines w:val="0"/>
              <w:pageBreakBefore w:val="0"/>
              <w:kinsoku/>
              <w:wordWrap/>
              <w:overflowPunct/>
              <w:topLinePunct w:val="0"/>
              <w:autoSpaceDE/>
              <w:autoSpaceDN/>
              <w:bidi w:val="0"/>
              <w:spacing w:line="312" w:lineRule="auto"/>
              <w:textAlignment w:val="auto"/>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bCs/>
                <w:color w:val="auto"/>
                <w:kern w:val="0"/>
                <w:sz w:val="22"/>
                <w:szCs w:val="22"/>
                <w:highlight w:val="none"/>
                <w:lang w:val="en-US" w:eastAsia="zh-CN"/>
              </w:rPr>
              <w:t>供货时间</w:t>
            </w:r>
          </w:p>
        </w:tc>
        <w:tc>
          <w:tcPr>
            <w:tcW w:w="7275" w:type="dxa"/>
            <w:tcBorders>
              <w:top w:val="single" w:color="auto" w:sz="4" w:space="0"/>
              <w:left w:val="single" w:color="auto" w:sz="4" w:space="0"/>
              <w:bottom w:val="single" w:color="auto" w:sz="4" w:space="0"/>
              <w:right w:val="single" w:color="auto" w:sz="4" w:space="0"/>
            </w:tcBorders>
            <w:vAlign w:val="center"/>
          </w:tcPr>
          <w:p w14:paraId="379C29D7">
            <w:pPr>
              <w:keepNext w:val="0"/>
              <w:keepLines w:val="0"/>
              <w:pageBreakBefore w:val="0"/>
              <w:kinsoku/>
              <w:wordWrap/>
              <w:overflowPunct/>
              <w:topLinePunct w:val="0"/>
              <w:autoSpaceDE/>
              <w:autoSpaceDN/>
              <w:bidi w:val="0"/>
              <w:spacing w:line="312" w:lineRule="auto"/>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bCs/>
                <w:color w:val="auto"/>
                <w:kern w:val="0"/>
                <w:sz w:val="22"/>
                <w:szCs w:val="22"/>
                <w:highlight w:val="none"/>
                <w:lang w:eastAsia="zh-CN"/>
              </w:rPr>
              <w:t>合同签订后</w:t>
            </w:r>
            <w:r>
              <w:rPr>
                <w:rFonts w:hint="eastAsia" w:ascii="新宋体" w:hAnsi="新宋体" w:eastAsia="新宋体" w:cs="新宋体"/>
                <w:bCs/>
                <w:color w:val="auto"/>
                <w:kern w:val="0"/>
                <w:sz w:val="22"/>
                <w:szCs w:val="22"/>
                <w:highlight w:val="none"/>
                <w:lang w:val="en-US" w:eastAsia="zh-CN"/>
              </w:rPr>
              <w:t>45个</w:t>
            </w:r>
            <w:r>
              <w:rPr>
                <w:rFonts w:hint="eastAsia" w:ascii="新宋体" w:hAnsi="新宋体" w:eastAsia="新宋体" w:cs="新宋体"/>
                <w:bCs/>
                <w:color w:val="auto"/>
                <w:kern w:val="0"/>
                <w:sz w:val="22"/>
                <w:szCs w:val="22"/>
                <w:highlight w:val="none"/>
                <w:lang w:eastAsia="zh-CN"/>
              </w:rPr>
              <w:t>日历天内完成</w:t>
            </w:r>
            <w:r>
              <w:rPr>
                <w:rFonts w:hint="eastAsia" w:ascii="新宋体" w:hAnsi="新宋体" w:eastAsia="新宋体" w:cs="新宋体"/>
                <w:bCs/>
                <w:color w:val="auto"/>
                <w:kern w:val="0"/>
                <w:sz w:val="22"/>
                <w:szCs w:val="22"/>
                <w:highlight w:val="none"/>
                <w:lang w:val="en-US" w:eastAsia="zh-CN"/>
              </w:rPr>
              <w:t>产品交付。</w:t>
            </w:r>
          </w:p>
        </w:tc>
      </w:tr>
      <w:tr w14:paraId="41C14C03">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350BBE31">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w:t>
            </w:r>
          </w:p>
        </w:tc>
        <w:tc>
          <w:tcPr>
            <w:tcW w:w="1531" w:type="dxa"/>
            <w:tcBorders>
              <w:top w:val="single" w:color="auto" w:sz="4" w:space="0"/>
              <w:left w:val="single" w:color="auto" w:sz="4" w:space="0"/>
              <w:bottom w:val="single" w:color="auto" w:sz="4" w:space="0"/>
              <w:right w:val="single" w:color="auto" w:sz="4" w:space="0"/>
            </w:tcBorders>
            <w:vAlign w:val="center"/>
          </w:tcPr>
          <w:p w14:paraId="1E8C2FDA">
            <w:pPr>
              <w:spacing w:line="312" w:lineRule="auto"/>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投标供应商资格要求</w:t>
            </w:r>
          </w:p>
        </w:tc>
        <w:tc>
          <w:tcPr>
            <w:tcW w:w="7275" w:type="dxa"/>
            <w:tcBorders>
              <w:top w:val="single" w:color="auto" w:sz="4" w:space="0"/>
              <w:left w:val="single" w:color="auto" w:sz="4" w:space="0"/>
              <w:bottom w:val="single" w:color="auto" w:sz="4" w:space="0"/>
              <w:right w:val="single" w:color="auto" w:sz="4" w:space="0"/>
            </w:tcBorders>
            <w:vAlign w:val="center"/>
          </w:tcPr>
          <w:p w14:paraId="03146DB4">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见项目采购公告</w:t>
            </w:r>
          </w:p>
        </w:tc>
      </w:tr>
      <w:tr w14:paraId="2CC527FA">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2F8DDCB8">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w:t>
            </w:r>
          </w:p>
        </w:tc>
        <w:tc>
          <w:tcPr>
            <w:tcW w:w="1531" w:type="dxa"/>
            <w:tcBorders>
              <w:top w:val="single" w:color="auto" w:sz="4" w:space="0"/>
              <w:left w:val="single" w:color="auto" w:sz="4" w:space="0"/>
              <w:bottom w:val="single" w:color="auto" w:sz="4" w:space="0"/>
              <w:right w:val="single" w:color="auto" w:sz="4" w:space="0"/>
            </w:tcBorders>
            <w:vAlign w:val="center"/>
          </w:tcPr>
          <w:p w14:paraId="70595037">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是否接受联合体投标</w:t>
            </w:r>
          </w:p>
        </w:tc>
        <w:tc>
          <w:tcPr>
            <w:tcW w:w="7275" w:type="dxa"/>
            <w:tcBorders>
              <w:top w:val="single" w:color="auto" w:sz="4" w:space="0"/>
              <w:left w:val="single" w:color="auto" w:sz="4" w:space="0"/>
              <w:bottom w:val="single" w:color="auto" w:sz="4" w:space="0"/>
              <w:right w:val="single" w:color="auto" w:sz="4" w:space="0"/>
            </w:tcBorders>
            <w:vAlign w:val="center"/>
          </w:tcPr>
          <w:p w14:paraId="2D6731DD">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b/>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不接受</w:t>
            </w:r>
          </w:p>
          <w:p w14:paraId="6AF0A3B4">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w:t>
            </w:r>
            <w:r>
              <w:rPr>
                <w:rFonts w:hint="eastAsia" w:ascii="新宋体" w:hAnsi="新宋体" w:eastAsia="新宋体" w:cs="新宋体"/>
                <w:b/>
                <w:color w:val="auto"/>
                <w:kern w:val="0"/>
                <w:sz w:val="22"/>
                <w:szCs w:val="22"/>
                <w:highlight w:val="none"/>
              </w:rPr>
              <w:t>接受，应满足下列要求</w:t>
            </w:r>
            <w:r>
              <w:rPr>
                <w:rFonts w:hint="eastAsia" w:ascii="新宋体" w:hAnsi="新宋体" w:eastAsia="新宋体" w:cs="新宋体"/>
                <w:color w:val="auto"/>
                <w:kern w:val="0"/>
                <w:sz w:val="22"/>
                <w:szCs w:val="22"/>
                <w:highlight w:val="none"/>
              </w:rPr>
              <w:t>：</w:t>
            </w:r>
          </w:p>
        </w:tc>
      </w:tr>
      <w:tr w14:paraId="38F9837C">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229B77C4">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w:t>
            </w:r>
          </w:p>
        </w:tc>
        <w:tc>
          <w:tcPr>
            <w:tcW w:w="1531" w:type="dxa"/>
            <w:tcBorders>
              <w:top w:val="single" w:color="auto" w:sz="4" w:space="0"/>
              <w:left w:val="single" w:color="auto" w:sz="4" w:space="0"/>
              <w:bottom w:val="single" w:color="auto" w:sz="4" w:space="0"/>
              <w:right w:val="single" w:color="auto" w:sz="4" w:space="0"/>
            </w:tcBorders>
            <w:vAlign w:val="center"/>
          </w:tcPr>
          <w:p w14:paraId="414E5ACB">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踏勘现场</w:t>
            </w:r>
          </w:p>
        </w:tc>
        <w:tc>
          <w:tcPr>
            <w:tcW w:w="7275" w:type="dxa"/>
            <w:tcBorders>
              <w:top w:val="single" w:color="auto" w:sz="4" w:space="0"/>
              <w:left w:val="single" w:color="auto" w:sz="4" w:space="0"/>
              <w:bottom w:val="single" w:color="auto" w:sz="4" w:space="0"/>
              <w:right w:val="single" w:color="auto" w:sz="4" w:space="0"/>
            </w:tcBorders>
            <w:vAlign w:val="center"/>
          </w:tcPr>
          <w:p w14:paraId="75FDE73F">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□组织</w:t>
            </w:r>
          </w:p>
          <w:p w14:paraId="289D635C">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不组织。</w:t>
            </w:r>
          </w:p>
        </w:tc>
      </w:tr>
      <w:tr w14:paraId="4CD38579">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5735F553">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w:t>
            </w:r>
          </w:p>
        </w:tc>
        <w:tc>
          <w:tcPr>
            <w:tcW w:w="1531" w:type="dxa"/>
            <w:tcBorders>
              <w:top w:val="single" w:color="auto" w:sz="4" w:space="0"/>
              <w:left w:val="single" w:color="auto" w:sz="4" w:space="0"/>
              <w:bottom w:val="single" w:color="auto" w:sz="4" w:space="0"/>
              <w:right w:val="single" w:color="auto" w:sz="4" w:space="0"/>
            </w:tcBorders>
            <w:vAlign w:val="center"/>
          </w:tcPr>
          <w:p w14:paraId="4C1163B8">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投标预备会</w:t>
            </w:r>
          </w:p>
        </w:tc>
        <w:tc>
          <w:tcPr>
            <w:tcW w:w="7275" w:type="dxa"/>
            <w:tcBorders>
              <w:top w:val="single" w:color="auto" w:sz="4" w:space="0"/>
              <w:left w:val="single" w:color="auto" w:sz="4" w:space="0"/>
              <w:bottom w:val="single" w:color="auto" w:sz="4" w:space="0"/>
              <w:right w:val="single" w:color="auto" w:sz="4" w:space="0"/>
            </w:tcBorders>
            <w:vAlign w:val="center"/>
          </w:tcPr>
          <w:p w14:paraId="522B5944">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□召开</w:t>
            </w:r>
          </w:p>
          <w:p w14:paraId="640C7438">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不召开</w:t>
            </w:r>
          </w:p>
        </w:tc>
      </w:tr>
      <w:tr w14:paraId="5CB49EDD">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69B459D5">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10</w:t>
            </w:r>
          </w:p>
        </w:tc>
        <w:tc>
          <w:tcPr>
            <w:tcW w:w="1531" w:type="dxa"/>
            <w:tcBorders>
              <w:top w:val="single" w:color="auto" w:sz="4" w:space="0"/>
              <w:left w:val="single" w:color="auto" w:sz="4" w:space="0"/>
              <w:bottom w:val="single" w:color="auto" w:sz="4" w:space="0"/>
              <w:right w:val="single" w:color="auto" w:sz="4" w:space="0"/>
            </w:tcBorders>
            <w:vAlign w:val="center"/>
          </w:tcPr>
          <w:p w14:paraId="46E72947">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投标截止时间</w:t>
            </w:r>
          </w:p>
        </w:tc>
        <w:tc>
          <w:tcPr>
            <w:tcW w:w="7275" w:type="dxa"/>
            <w:tcBorders>
              <w:top w:val="single" w:color="auto" w:sz="4" w:space="0"/>
              <w:left w:val="single" w:color="auto" w:sz="4" w:space="0"/>
              <w:bottom w:val="single" w:color="auto" w:sz="4" w:space="0"/>
              <w:right w:val="single" w:color="auto" w:sz="4" w:space="0"/>
            </w:tcBorders>
            <w:vAlign w:val="center"/>
          </w:tcPr>
          <w:p w14:paraId="2D276E06">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2026年6月</w:t>
            </w:r>
            <w:r>
              <w:rPr>
                <w:rFonts w:hint="eastAsia" w:ascii="新宋体" w:hAnsi="新宋体" w:eastAsia="新宋体" w:cs="新宋体"/>
                <w:color w:val="auto"/>
                <w:kern w:val="0"/>
                <w:sz w:val="22"/>
                <w:szCs w:val="22"/>
                <w:highlight w:val="none"/>
                <w:lang w:val="en-US" w:eastAsia="zh-CN"/>
              </w:rPr>
              <w:t>24</w:t>
            </w:r>
            <w:r>
              <w:rPr>
                <w:rFonts w:hint="eastAsia" w:ascii="新宋体" w:hAnsi="新宋体" w:eastAsia="新宋体" w:cs="新宋体"/>
                <w:color w:val="auto"/>
                <w:kern w:val="0"/>
                <w:sz w:val="22"/>
                <w:szCs w:val="22"/>
                <w:highlight w:val="none"/>
                <w:lang w:eastAsia="zh-CN"/>
              </w:rPr>
              <w:t>日14：30</w:t>
            </w:r>
          </w:p>
        </w:tc>
      </w:tr>
      <w:tr w14:paraId="7F4B618A">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183F7774">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11</w:t>
            </w:r>
          </w:p>
        </w:tc>
        <w:tc>
          <w:tcPr>
            <w:tcW w:w="1531" w:type="dxa"/>
            <w:tcBorders>
              <w:top w:val="single" w:color="auto" w:sz="4" w:space="0"/>
              <w:left w:val="single" w:color="auto" w:sz="4" w:space="0"/>
              <w:bottom w:val="single" w:color="auto" w:sz="4" w:space="0"/>
              <w:right w:val="single" w:color="auto" w:sz="4" w:space="0"/>
            </w:tcBorders>
            <w:vAlign w:val="center"/>
          </w:tcPr>
          <w:p w14:paraId="55D65795">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分包</w:t>
            </w:r>
          </w:p>
        </w:tc>
        <w:tc>
          <w:tcPr>
            <w:tcW w:w="7275" w:type="dxa"/>
            <w:tcBorders>
              <w:top w:val="single" w:color="auto" w:sz="4" w:space="0"/>
              <w:left w:val="single" w:color="auto" w:sz="4" w:space="0"/>
              <w:bottom w:val="single" w:color="auto" w:sz="4" w:space="0"/>
              <w:right w:val="single" w:color="auto" w:sz="4" w:space="0"/>
            </w:tcBorders>
            <w:vAlign w:val="center"/>
          </w:tcPr>
          <w:p w14:paraId="1AEAE30C">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□允许</w:t>
            </w:r>
          </w:p>
          <w:p w14:paraId="4014F6C3">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不允许</w:t>
            </w:r>
          </w:p>
        </w:tc>
      </w:tr>
      <w:tr w14:paraId="69175E5D">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09E9EF03">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w:t>
            </w:r>
          </w:p>
        </w:tc>
        <w:tc>
          <w:tcPr>
            <w:tcW w:w="1531" w:type="dxa"/>
            <w:tcBorders>
              <w:top w:val="single" w:color="auto" w:sz="4" w:space="0"/>
              <w:left w:val="single" w:color="auto" w:sz="4" w:space="0"/>
              <w:bottom w:val="single" w:color="auto" w:sz="4" w:space="0"/>
              <w:right w:val="single" w:color="auto" w:sz="4" w:space="0"/>
            </w:tcBorders>
            <w:vAlign w:val="center"/>
          </w:tcPr>
          <w:p w14:paraId="6E82ED93">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偏离</w:t>
            </w:r>
          </w:p>
        </w:tc>
        <w:tc>
          <w:tcPr>
            <w:tcW w:w="7275" w:type="dxa"/>
            <w:tcBorders>
              <w:top w:val="single" w:color="auto" w:sz="4" w:space="0"/>
              <w:left w:val="single" w:color="auto" w:sz="4" w:space="0"/>
              <w:bottom w:val="single" w:color="auto" w:sz="4" w:space="0"/>
              <w:right w:val="single" w:color="auto" w:sz="4" w:space="0"/>
            </w:tcBorders>
            <w:vAlign w:val="center"/>
          </w:tcPr>
          <w:p w14:paraId="2FE1160B">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偏差允许幅度及其处理方法：允许细微偏差，不允许重大偏差。由评标委员会判断，细微偏差要求投标供应商在评标结束前予以澄清、说明或补正，不接受要求进行的，评标委员会有权做无效标处理，详见评标办法。</w:t>
            </w:r>
          </w:p>
        </w:tc>
      </w:tr>
      <w:tr w14:paraId="3601CD6E">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408C02BB">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13</w:t>
            </w:r>
          </w:p>
        </w:tc>
        <w:tc>
          <w:tcPr>
            <w:tcW w:w="1531" w:type="dxa"/>
            <w:tcBorders>
              <w:top w:val="single" w:color="auto" w:sz="4" w:space="0"/>
              <w:left w:val="single" w:color="auto" w:sz="4" w:space="0"/>
              <w:bottom w:val="single" w:color="auto" w:sz="4" w:space="0"/>
              <w:right w:val="single" w:color="auto" w:sz="4" w:space="0"/>
            </w:tcBorders>
            <w:vAlign w:val="center"/>
          </w:tcPr>
          <w:p w14:paraId="56519DD1">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投标有效期</w:t>
            </w:r>
          </w:p>
        </w:tc>
        <w:tc>
          <w:tcPr>
            <w:tcW w:w="7275" w:type="dxa"/>
            <w:tcBorders>
              <w:top w:val="single" w:color="auto" w:sz="4" w:space="0"/>
              <w:left w:val="single" w:color="auto" w:sz="4" w:space="0"/>
              <w:bottom w:val="single" w:color="auto" w:sz="4" w:space="0"/>
              <w:right w:val="single" w:color="auto" w:sz="4" w:space="0"/>
            </w:tcBorders>
            <w:vAlign w:val="center"/>
          </w:tcPr>
          <w:p w14:paraId="14204B9F">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投标文件自投标截止时间起生效，有效期90天。</w:t>
            </w:r>
          </w:p>
        </w:tc>
      </w:tr>
      <w:tr w14:paraId="679043AC">
        <w:tblPrEx>
          <w:tblCellMar>
            <w:top w:w="0" w:type="dxa"/>
            <w:left w:w="108" w:type="dxa"/>
            <w:bottom w:w="0" w:type="dxa"/>
            <w:right w:w="108" w:type="dxa"/>
          </w:tblCellMar>
        </w:tblPrEx>
        <w:trPr>
          <w:trHeight w:val="421"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7E32D76A">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14</w:t>
            </w:r>
          </w:p>
        </w:tc>
        <w:tc>
          <w:tcPr>
            <w:tcW w:w="1531" w:type="dxa"/>
            <w:tcBorders>
              <w:top w:val="single" w:color="auto" w:sz="4" w:space="0"/>
              <w:left w:val="single" w:color="auto" w:sz="4" w:space="0"/>
              <w:bottom w:val="single" w:color="auto" w:sz="4" w:space="0"/>
              <w:right w:val="single" w:color="auto" w:sz="4" w:space="0"/>
            </w:tcBorders>
            <w:vAlign w:val="center"/>
          </w:tcPr>
          <w:p w14:paraId="7F7EF145">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投标保证金</w:t>
            </w:r>
          </w:p>
        </w:tc>
        <w:tc>
          <w:tcPr>
            <w:tcW w:w="7275" w:type="dxa"/>
            <w:tcBorders>
              <w:top w:val="single" w:color="auto" w:sz="4" w:space="0"/>
              <w:left w:val="single" w:color="auto" w:sz="4" w:space="0"/>
              <w:bottom w:val="single" w:color="auto" w:sz="4" w:space="0"/>
              <w:right w:val="single" w:color="auto" w:sz="4" w:space="0"/>
            </w:tcBorders>
            <w:vAlign w:val="center"/>
          </w:tcPr>
          <w:p w14:paraId="43FAD655">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投标保证金：人民币</w:t>
            </w:r>
            <w:r>
              <w:rPr>
                <w:rFonts w:hint="eastAsia" w:ascii="新宋体" w:hAnsi="新宋体" w:eastAsia="新宋体" w:cs="新宋体"/>
                <w:color w:val="auto"/>
                <w:kern w:val="0"/>
                <w:sz w:val="22"/>
                <w:szCs w:val="22"/>
                <w:highlight w:val="none"/>
                <w:lang w:val="en-US" w:eastAsia="zh-CN"/>
              </w:rPr>
              <w:t>陆仟贰佰</w:t>
            </w:r>
            <w:r>
              <w:rPr>
                <w:rFonts w:hint="eastAsia" w:ascii="新宋体" w:hAnsi="新宋体" w:eastAsia="新宋体" w:cs="新宋体"/>
                <w:color w:val="auto"/>
                <w:kern w:val="0"/>
                <w:sz w:val="22"/>
                <w:szCs w:val="22"/>
                <w:highlight w:val="none"/>
              </w:rPr>
              <w:t>元整（¥</w:t>
            </w:r>
            <w:r>
              <w:rPr>
                <w:rFonts w:hint="eastAsia" w:ascii="新宋体" w:hAnsi="新宋体" w:eastAsia="新宋体" w:cs="新宋体"/>
                <w:color w:val="auto"/>
                <w:kern w:val="0"/>
                <w:sz w:val="22"/>
                <w:szCs w:val="22"/>
                <w:highlight w:val="none"/>
                <w:lang w:val="en-US" w:eastAsia="zh-CN"/>
              </w:rPr>
              <w:t>6200</w:t>
            </w:r>
            <w:r>
              <w:rPr>
                <w:rFonts w:hint="eastAsia" w:ascii="新宋体" w:hAnsi="新宋体" w:eastAsia="新宋体" w:cs="新宋体"/>
                <w:color w:val="auto"/>
                <w:kern w:val="0"/>
                <w:sz w:val="22"/>
                <w:szCs w:val="22"/>
                <w:highlight w:val="none"/>
              </w:rPr>
              <w:t>元）；必须在投标截止时间前以转账方式向代理机构提交。</w:t>
            </w:r>
          </w:p>
          <w:p w14:paraId="08FD54DF">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户名：温州市智信招标代理有限公司</w:t>
            </w:r>
          </w:p>
          <w:p w14:paraId="79ADA841">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账号： 333504140018800009390</w:t>
            </w:r>
          </w:p>
          <w:p w14:paraId="161CBD20">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开户行：交通银行温州分行瓯海支行</w:t>
            </w:r>
          </w:p>
        </w:tc>
      </w:tr>
      <w:tr w14:paraId="60F27B21">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24810F87">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15</w:t>
            </w:r>
          </w:p>
        </w:tc>
        <w:tc>
          <w:tcPr>
            <w:tcW w:w="1531" w:type="dxa"/>
            <w:tcBorders>
              <w:top w:val="single" w:color="auto" w:sz="4" w:space="0"/>
              <w:left w:val="single" w:color="auto" w:sz="4" w:space="0"/>
              <w:bottom w:val="single" w:color="auto" w:sz="4" w:space="0"/>
              <w:right w:val="single" w:color="auto" w:sz="4" w:space="0"/>
            </w:tcBorders>
            <w:vAlign w:val="center"/>
          </w:tcPr>
          <w:p w14:paraId="063D730E">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投标文件装订及封装要求</w:t>
            </w:r>
          </w:p>
        </w:tc>
        <w:tc>
          <w:tcPr>
            <w:tcW w:w="7275" w:type="dxa"/>
            <w:tcBorders>
              <w:top w:val="single" w:color="auto" w:sz="4" w:space="0"/>
              <w:left w:val="single" w:color="auto" w:sz="4" w:space="0"/>
              <w:bottom w:val="single" w:color="auto" w:sz="4" w:space="0"/>
              <w:right w:val="single" w:color="auto" w:sz="4" w:space="0"/>
            </w:tcBorders>
            <w:vAlign w:val="center"/>
          </w:tcPr>
          <w:p w14:paraId="0086F3CB">
            <w:pPr>
              <w:spacing w:line="312"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（1）资格审查资料一式</w:t>
            </w:r>
            <w:r>
              <w:rPr>
                <w:rFonts w:hint="eastAsia" w:ascii="宋体" w:hAnsi="宋体" w:cs="宋体"/>
                <w:b/>
                <w:bCs/>
                <w:color w:val="auto"/>
                <w:sz w:val="22"/>
                <w:szCs w:val="22"/>
                <w:highlight w:val="none"/>
                <w:lang w:val="en-US" w:eastAsia="zh-CN"/>
              </w:rPr>
              <w:t>5</w:t>
            </w:r>
            <w:r>
              <w:rPr>
                <w:rFonts w:hint="eastAsia" w:ascii="宋体" w:hAnsi="宋体" w:cs="宋体"/>
                <w:b/>
                <w:bCs/>
                <w:color w:val="auto"/>
                <w:sz w:val="22"/>
                <w:szCs w:val="22"/>
                <w:highlight w:val="none"/>
              </w:rPr>
              <w:t>份，正本1份，副本</w:t>
            </w:r>
            <w:r>
              <w:rPr>
                <w:rFonts w:hint="eastAsia" w:ascii="宋体" w:hAnsi="宋体" w:cs="宋体"/>
                <w:b/>
                <w:bCs/>
                <w:color w:val="auto"/>
                <w:sz w:val="22"/>
                <w:szCs w:val="22"/>
                <w:highlight w:val="none"/>
                <w:lang w:val="en-US" w:eastAsia="zh-CN"/>
              </w:rPr>
              <w:t>4</w:t>
            </w:r>
            <w:r>
              <w:rPr>
                <w:rFonts w:hint="eastAsia" w:ascii="宋体" w:hAnsi="宋体" w:cs="宋体"/>
                <w:b/>
                <w:bCs/>
                <w:color w:val="auto"/>
                <w:sz w:val="22"/>
                <w:szCs w:val="22"/>
                <w:highlight w:val="none"/>
              </w:rPr>
              <w:t>份；</w:t>
            </w:r>
          </w:p>
          <w:p w14:paraId="5BDBFE41">
            <w:pPr>
              <w:spacing w:line="312"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（2）技术资信标一式</w:t>
            </w:r>
            <w:r>
              <w:rPr>
                <w:rFonts w:hint="eastAsia" w:ascii="宋体" w:hAnsi="宋体" w:cs="宋体"/>
                <w:b/>
                <w:bCs/>
                <w:color w:val="auto"/>
                <w:sz w:val="22"/>
                <w:szCs w:val="22"/>
                <w:highlight w:val="none"/>
                <w:lang w:val="en-US" w:eastAsia="zh-CN"/>
              </w:rPr>
              <w:t>5</w:t>
            </w:r>
            <w:r>
              <w:rPr>
                <w:rFonts w:hint="eastAsia" w:ascii="宋体" w:hAnsi="宋体" w:cs="宋体"/>
                <w:b/>
                <w:bCs/>
                <w:color w:val="auto"/>
                <w:sz w:val="22"/>
                <w:szCs w:val="22"/>
                <w:highlight w:val="none"/>
              </w:rPr>
              <w:t>份，正本1份，副本</w:t>
            </w:r>
            <w:r>
              <w:rPr>
                <w:rFonts w:hint="eastAsia" w:ascii="宋体" w:hAnsi="宋体" w:cs="宋体"/>
                <w:b/>
                <w:bCs/>
                <w:color w:val="auto"/>
                <w:sz w:val="22"/>
                <w:szCs w:val="22"/>
                <w:highlight w:val="none"/>
                <w:lang w:val="en-US" w:eastAsia="zh-CN"/>
              </w:rPr>
              <w:t>4</w:t>
            </w:r>
            <w:r>
              <w:rPr>
                <w:rFonts w:hint="eastAsia" w:ascii="宋体" w:hAnsi="宋体" w:cs="宋体"/>
                <w:b/>
                <w:bCs/>
                <w:color w:val="auto"/>
                <w:sz w:val="22"/>
                <w:szCs w:val="22"/>
                <w:highlight w:val="none"/>
              </w:rPr>
              <w:t>份；</w:t>
            </w:r>
          </w:p>
          <w:p w14:paraId="08D4ADEB">
            <w:pPr>
              <w:spacing w:line="312"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（3）商务报价标一式</w:t>
            </w:r>
            <w:r>
              <w:rPr>
                <w:rFonts w:hint="eastAsia" w:ascii="宋体" w:hAnsi="宋体" w:cs="宋体"/>
                <w:b/>
                <w:bCs/>
                <w:color w:val="auto"/>
                <w:sz w:val="22"/>
                <w:szCs w:val="22"/>
                <w:highlight w:val="none"/>
                <w:lang w:val="en-US" w:eastAsia="zh-CN"/>
              </w:rPr>
              <w:t>5</w:t>
            </w:r>
            <w:r>
              <w:rPr>
                <w:rFonts w:hint="eastAsia" w:ascii="宋体" w:hAnsi="宋体" w:cs="宋体"/>
                <w:b/>
                <w:bCs/>
                <w:color w:val="auto"/>
                <w:sz w:val="22"/>
                <w:szCs w:val="22"/>
                <w:highlight w:val="none"/>
              </w:rPr>
              <w:t>份，正本1份，副本</w:t>
            </w:r>
            <w:r>
              <w:rPr>
                <w:rFonts w:hint="eastAsia" w:ascii="宋体" w:hAnsi="宋体" w:cs="宋体"/>
                <w:b/>
                <w:bCs/>
                <w:color w:val="auto"/>
                <w:sz w:val="22"/>
                <w:szCs w:val="22"/>
                <w:highlight w:val="none"/>
                <w:lang w:val="en-US" w:eastAsia="zh-CN"/>
              </w:rPr>
              <w:t>4</w:t>
            </w:r>
            <w:r>
              <w:rPr>
                <w:rFonts w:hint="eastAsia" w:ascii="宋体" w:hAnsi="宋体" w:cs="宋体"/>
                <w:b/>
                <w:bCs/>
                <w:color w:val="auto"/>
                <w:sz w:val="22"/>
                <w:szCs w:val="22"/>
                <w:highlight w:val="none"/>
              </w:rPr>
              <w:t>份。</w:t>
            </w:r>
          </w:p>
          <w:p w14:paraId="3794B607">
            <w:pPr>
              <w:spacing w:line="312"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（4）“资格审查资料”、“技术资信标”、“商务报价标”三份文件正本盖章扫描件密封于U盘内与纸质投标文件一并提交，用于后续电子存档</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不作为评审依据</w:t>
            </w:r>
            <w:r>
              <w:rPr>
                <w:rFonts w:hint="eastAsia" w:ascii="宋体" w:hAnsi="宋体" w:cs="宋体"/>
                <w:b/>
                <w:bCs/>
                <w:color w:val="auto"/>
                <w:sz w:val="22"/>
                <w:szCs w:val="22"/>
                <w:highlight w:val="none"/>
              </w:rPr>
              <w:t>。</w:t>
            </w:r>
          </w:p>
          <w:p w14:paraId="64D52B7E">
            <w:pPr>
              <w:spacing w:line="312" w:lineRule="auto"/>
              <w:rPr>
                <w:rFonts w:hint="eastAsia" w:ascii="新宋体" w:hAnsi="新宋体" w:eastAsia="新宋体" w:cs="新宋体"/>
                <w:color w:val="auto"/>
                <w:kern w:val="0"/>
                <w:sz w:val="22"/>
                <w:szCs w:val="22"/>
                <w:highlight w:val="none"/>
              </w:rPr>
            </w:pP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5</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rPr>
              <w:t>投标文件“资格审查资料”、“技术资信标”、“商务报价标”各自装订成册密封于各自包封袋中，并加盖密封印章，并在封套的封口处加盖投标供应商单位章，并由法定代表人或其授权代表签字。</w:t>
            </w:r>
          </w:p>
        </w:tc>
      </w:tr>
      <w:tr w14:paraId="6B124631">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516A9294">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16</w:t>
            </w:r>
          </w:p>
        </w:tc>
        <w:tc>
          <w:tcPr>
            <w:tcW w:w="1531" w:type="dxa"/>
            <w:tcBorders>
              <w:top w:val="single" w:color="auto" w:sz="4" w:space="0"/>
              <w:left w:val="single" w:color="auto" w:sz="4" w:space="0"/>
              <w:bottom w:val="single" w:color="auto" w:sz="4" w:space="0"/>
              <w:right w:val="single" w:color="auto" w:sz="4" w:space="0"/>
            </w:tcBorders>
            <w:vAlign w:val="center"/>
          </w:tcPr>
          <w:p w14:paraId="00861FB2">
            <w:pPr>
              <w:adjustRightInd w:val="0"/>
              <w:snapToGrid w:val="0"/>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签字或盖章要求</w:t>
            </w:r>
          </w:p>
        </w:tc>
        <w:tc>
          <w:tcPr>
            <w:tcW w:w="7275" w:type="dxa"/>
            <w:tcBorders>
              <w:top w:val="single" w:color="auto" w:sz="4" w:space="0"/>
              <w:left w:val="single" w:color="auto" w:sz="4" w:space="0"/>
              <w:bottom w:val="single" w:color="auto" w:sz="4" w:space="0"/>
              <w:right w:val="single" w:color="auto" w:sz="4" w:space="0"/>
            </w:tcBorders>
            <w:vAlign w:val="center"/>
          </w:tcPr>
          <w:p w14:paraId="347AA0AB">
            <w:pPr>
              <w:adjustRightInd w:val="0"/>
              <w:snapToGrid w:val="0"/>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投标文件的相应位置应加盖：</w:t>
            </w:r>
          </w:p>
          <w:p w14:paraId="5F729204">
            <w:pPr>
              <w:adjustRightInd w:val="0"/>
              <w:snapToGrid w:val="0"/>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（1）单位公章；</w:t>
            </w:r>
          </w:p>
          <w:p w14:paraId="49589D40">
            <w:pPr>
              <w:adjustRightInd w:val="0"/>
              <w:snapToGrid w:val="0"/>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（2）法定代表人或其授权委托代理人签字或盖章（如为授权委托代理人签字或盖章的须提供法定代表人授权委托书）；</w:t>
            </w:r>
          </w:p>
          <w:p w14:paraId="679570B9">
            <w:pPr>
              <w:adjustRightInd w:val="0"/>
              <w:snapToGrid w:val="0"/>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（3）投标供应商单位章不得以分公司章、投标专用章、合同专用章等其他形式印章代替，否则视为无效印章。</w:t>
            </w:r>
          </w:p>
        </w:tc>
      </w:tr>
      <w:tr w14:paraId="656FD12F">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371BAF9A">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17</w:t>
            </w:r>
          </w:p>
        </w:tc>
        <w:tc>
          <w:tcPr>
            <w:tcW w:w="1531" w:type="dxa"/>
            <w:tcBorders>
              <w:top w:val="single" w:color="auto" w:sz="4" w:space="0"/>
              <w:left w:val="single" w:color="auto" w:sz="4" w:space="0"/>
              <w:bottom w:val="single" w:color="auto" w:sz="4" w:space="0"/>
              <w:right w:val="single" w:color="auto" w:sz="4" w:space="0"/>
            </w:tcBorders>
            <w:vAlign w:val="center"/>
          </w:tcPr>
          <w:p w14:paraId="3C2C6CB4">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递交投标</w:t>
            </w:r>
          </w:p>
          <w:p w14:paraId="0F53135B">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文件地点</w:t>
            </w:r>
          </w:p>
        </w:tc>
        <w:tc>
          <w:tcPr>
            <w:tcW w:w="7275" w:type="dxa"/>
            <w:tcBorders>
              <w:top w:val="single" w:color="auto" w:sz="4" w:space="0"/>
              <w:left w:val="single" w:color="auto" w:sz="4" w:space="0"/>
              <w:bottom w:val="single" w:color="auto" w:sz="4" w:space="0"/>
              <w:right w:val="single" w:color="auto" w:sz="4" w:space="0"/>
            </w:tcBorders>
            <w:vAlign w:val="center"/>
          </w:tcPr>
          <w:p w14:paraId="011A34FF">
            <w:pPr>
              <w:spacing w:line="312" w:lineRule="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eastAsia="zh-CN"/>
              </w:rPr>
              <w:t>温州市鹿城区瓯江路展银大厦1楼1号会议室</w:t>
            </w:r>
          </w:p>
        </w:tc>
      </w:tr>
      <w:tr w14:paraId="48BD16D0">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0DB8DAE9">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18</w:t>
            </w:r>
          </w:p>
        </w:tc>
        <w:tc>
          <w:tcPr>
            <w:tcW w:w="1531" w:type="dxa"/>
            <w:tcBorders>
              <w:top w:val="single" w:color="auto" w:sz="4" w:space="0"/>
              <w:left w:val="single" w:color="auto" w:sz="4" w:space="0"/>
              <w:bottom w:val="single" w:color="auto" w:sz="4" w:space="0"/>
              <w:right w:val="single" w:color="auto" w:sz="4" w:space="0"/>
            </w:tcBorders>
            <w:vAlign w:val="center"/>
          </w:tcPr>
          <w:p w14:paraId="07B2CBA1">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开标时间</w:t>
            </w:r>
          </w:p>
          <w:p w14:paraId="713A8EB1">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和地点</w:t>
            </w:r>
          </w:p>
        </w:tc>
        <w:tc>
          <w:tcPr>
            <w:tcW w:w="7275" w:type="dxa"/>
            <w:tcBorders>
              <w:top w:val="single" w:color="auto" w:sz="4" w:space="0"/>
              <w:left w:val="single" w:color="auto" w:sz="4" w:space="0"/>
              <w:bottom w:val="single" w:color="auto" w:sz="4" w:space="0"/>
              <w:right w:val="single" w:color="auto" w:sz="4" w:space="0"/>
            </w:tcBorders>
            <w:vAlign w:val="center"/>
          </w:tcPr>
          <w:p w14:paraId="6E8106C5">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开标时间：</w:t>
            </w:r>
            <w:r>
              <w:rPr>
                <w:rFonts w:hint="eastAsia" w:ascii="新宋体" w:hAnsi="新宋体" w:eastAsia="新宋体" w:cs="新宋体"/>
                <w:color w:val="auto"/>
                <w:kern w:val="0"/>
                <w:sz w:val="22"/>
                <w:szCs w:val="22"/>
                <w:highlight w:val="none"/>
                <w:lang w:eastAsia="zh-CN"/>
              </w:rPr>
              <w:t>2026年6月</w:t>
            </w:r>
            <w:r>
              <w:rPr>
                <w:rFonts w:hint="eastAsia" w:ascii="新宋体" w:hAnsi="新宋体" w:eastAsia="新宋体" w:cs="新宋体"/>
                <w:color w:val="auto"/>
                <w:kern w:val="0"/>
                <w:sz w:val="22"/>
                <w:szCs w:val="22"/>
                <w:highlight w:val="none"/>
                <w:lang w:val="en-US" w:eastAsia="zh-CN"/>
              </w:rPr>
              <w:t>24</w:t>
            </w:r>
            <w:r>
              <w:rPr>
                <w:rFonts w:hint="eastAsia" w:ascii="新宋体" w:hAnsi="新宋体" w:eastAsia="新宋体" w:cs="新宋体"/>
                <w:color w:val="auto"/>
                <w:kern w:val="0"/>
                <w:sz w:val="22"/>
                <w:szCs w:val="22"/>
                <w:highlight w:val="none"/>
                <w:lang w:eastAsia="zh-CN"/>
              </w:rPr>
              <w:t>日14：30</w:t>
            </w:r>
          </w:p>
          <w:p w14:paraId="66EDB81D">
            <w:pPr>
              <w:spacing w:line="312" w:lineRule="auto"/>
              <w:rPr>
                <w:rFonts w:hint="eastAsia" w:eastAsia="新宋体"/>
                <w:color w:val="auto"/>
                <w:sz w:val="22"/>
                <w:szCs w:val="22"/>
                <w:highlight w:val="none"/>
                <w:lang w:eastAsia="zh-CN"/>
              </w:rPr>
            </w:pPr>
            <w:r>
              <w:rPr>
                <w:rFonts w:hint="eastAsia" w:ascii="新宋体" w:hAnsi="新宋体" w:eastAsia="新宋体" w:cs="新宋体"/>
                <w:color w:val="auto"/>
                <w:kern w:val="0"/>
                <w:sz w:val="22"/>
                <w:szCs w:val="22"/>
                <w:highlight w:val="none"/>
              </w:rPr>
              <w:t>开标地点：</w:t>
            </w:r>
            <w:r>
              <w:rPr>
                <w:rFonts w:hint="eastAsia" w:ascii="新宋体" w:hAnsi="新宋体" w:eastAsia="新宋体" w:cs="新宋体"/>
                <w:color w:val="auto"/>
                <w:kern w:val="0"/>
                <w:sz w:val="22"/>
                <w:szCs w:val="22"/>
                <w:highlight w:val="none"/>
                <w:lang w:eastAsia="zh-CN"/>
              </w:rPr>
              <w:t>温州市鹿城区瓯江路展银大厦1楼1号会议室</w:t>
            </w:r>
          </w:p>
        </w:tc>
      </w:tr>
      <w:tr w14:paraId="2D13ED67">
        <w:tblPrEx>
          <w:tblCellMar>
            <w:top w:w="0" w:type="dxa"/>
            <w:left w:w="108" w:type="dxa"/>
            <w:bottom w:w="0" w:type="dxa"/>
            <w:right w:w="108" w:type="dxa"/>
          </w:tblCellMar>
        </w:tblPrEx>
        <w:trPr>
          <w:trHeight w:val="416"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19210115">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19</w:t>
            </w:r>
          </w:p>
        </w:tc>
        <w:tc>
          <w:tcPr>
            <w:tcW w:w="1531" w:type="dxa"/>
            <w:tcBorders>
              <w:top w:val="single" w:color="auto" w:sz="4" w:space="0"/>
              <w:left w:val="single" w:color="auto" w:sz="4" w:space="0"/>
              <w:bottom w:val="single" w:color="auto" w:sz="4" w:space="0"/>
              <w:right w:val="single" w:color="auto" w:sz="4" w:space="0"/>
            </w:tcBorders>
            <w:vAlign w:val="center"/>
          </w:tcPr>
          <w:p w14:paraId="22333C1A">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开评标程序</w:t>
            </w:r>
          </w:p>
        </w:tc>
        <w:tc>
          <w:tcPr>
            <w:tcW w:w="7275" w:type="dxa"/>
            <w:tcBorders>
              <w:top w:val="single" w:color="auto" w:sz="4" w:space="0"/>
              <w:left w:val="single" w:color="auto" w:sz="4" w:space="0"/>
              <w:bottom w:val="single" w:color="auto" w:sz="4" w:space="0"/>
              <w:right w:val="single" w:color="auto" w:sz="4" w:space="0"/>
            </w:tcBorders>
            <w:vAlign w:val="center"/>
          </w:tcPr>
          <w:p w14:paraId="22957123">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（1）宣布开标纪律；</w:t>
            </w:r>
          </w:p>
          <w:p w14:paraId="5A220E53">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（2）公布在投标截止时间前递交投标文件的投标供应商名称，并点名确认投标供应商是否派授权代表到场；</w:t>
            </w:r>
          </w:p>
          <w:p w14:paraId="678C7259">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（3）宣布唱标人、记录人、监督人员等有关人员姓名；</w:t>
            </w:r>
          </w:p>
          <w:p w14:paraId="120BA543">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（4）密封情况检查：由监督人员或投标供应商推选的代表检查投标文件密封情况；</w:t>
            </w:r>
          </w:p>
          <w:p w14:paraId="63CFC884">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（5）开标顺序：</w:t>
            </w:r>
            <w:r>
              <w:rPr>
                <w:rFonts w:hint="eastAsia" w:ascii="新宋体" w:hAnsi="新宋体" w:eastAsia="新宋体" w:cs="新宋体"/>
                <w:color w:val="auto"/>
                <w:sz w:val="22"/>
                <w:highlight w:val="none"/>
              </w:rPr>
              <w:t>投标供应商送达投标文件的逆序；在开标室里同时开启投标供应商资格审查文件、技术资信文件、商务报价文件</w:t>
            </w:r>
            <w:r>
              <w:rPr>
                <w:rFonts w:hint="eastAsia"/>
                <w:color w:val="auto"/>
                <w:sz w:val="22"/>
                <w:szCs w:val="22"/>
                <w:highlight w:val="none"/>
              </w:rPr>
              <w:t>；</w:t>
            </w:r>
          </w:p>
          <w:p w14:paraId="354C4D3D">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（6）确认开标结果：投标供应商授权代表对开标记录进行当场校核及勘误，并签字确认；并同时由记录人、监督人当场签字确认；</w:t>
            </w:r>
          </w:p>
          <w:p w14:paraId="4B3BFC78">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（7）宣布开标结束；</w:t>
            </w:r>
          </w:p>
          <w:p w14:paraId="5751633B">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（8）投标供应商授权代表未参加开标会议；未到场签字确认的，不影响开标，评标过程，视同认可开标结果；事后不得对采购相关人员、开标过程和开标结果提出异议；</w:t>
            </w:r>
          </w:p>
          <w:p w14:paraId="6858ADE4">
            <w:pPr>
              <w:spacing w:line="312" w:lineRule="auto"/>
              <w:ind w:left="2"/>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（9）将开启的投标文件送交评标委员会评审。</w:t>
            </w:r>
          </w:p>
        </w:tc>
      </w:tr>
      <w:tr w14:paraId="16ED0C8F">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70875FA2">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20</w:t>
            </w:r>
          </w:p>
        </w:tc>
        <w:tc>
          <w:tcPr>
            <w:tcW w:w="1531" w:type="dxa"/>
            <w:tcBorders>
              <w:top w:val="single" w:color="auto" w:sz="4" w:space="0"/>
              <w:left w:val="single" w:color="auto" w:sz="4" w:space="0"/>
              <w:bottom w:val="single" w:color="auto" w:sz="4" w:space="0"/>
              <w:right w:val="single" w:color="auto" w:sz="4" w:space="0"/>
            </w:tcBorders>
            <w:vAlign w:val="center"/>
          </w:tcPr>
          <w:p w14:paraId="146CB42E">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评标委员会</w:t>
            </w:r>
          </w:p>
          <w:p w14:paraId="2948F299">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的组建</w:t>
            </w:r>
          </w:p>
        </w:tc>
        <w:tc>
          <w:tcPr>
            <w:tcW w:w="7275" w:type="dxa"/>
            <w:tcBorders>
              <w:top w:val="single" w:color="auto" w:sz="4" w:space="0"/>
              <w:left w:val="single" w:color="auto" w:sz="4" w:space="0"/>
              <w:bottom w:val="single" w:color="auto" w:sz="4" w:space="0"/>
              <w:right w:val="single" w:color="auto" w:sz="4" w:space="0"/>
            </w:tcBorders>
            <w:vAlign w:val="center"/>
          </w:tcPr>
          <w:p w14:paraId="6E8F9FA9">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bCs/>
                <w:color w:val="auto"/>
                <w:sz w:val="22"/>
                <w:szCs w:val="22"/>
                <w:highlight w:val="none"/>
              </w:rPr>
              <w:t>评标委员会成员由采购人代表和有关技术、经济等方面的专家组成，成员人数为</w:t>
            </w:r>
            <w:r>
              <w:rPr>
                <w:rFonts w:hint="eastAsia" w:ascii="新宋体" w:hAnsi="新宋体" w:eastAsia="新宋体" w:cs="新宋体"/>
                <w:bCs/>
                <w:color w:val="auto"/>
                <w:sz w:val="22"/>
                <w:szCs w:val="22"/>
                <w:highlight w:val="none"/>
                <w:lang w:val="en-US" w:eastAsia="zh-CN"/>
              </w:rPr>
              <w:t>5</w:t>
            </w:r>
            <w:r>
              <w:rPr>
                <w:rFonts w:hint="eastAsia" w:ascii="新宋体" w:hAnsi="新宋体" w:eastAsia="新宋体" w:cs="新宋体"/>
                <w:bCs/>
                <w:color w:val="auto"/>
                <w:sz w:val="22"/>
                <w:szCs w:val="22"/>
                <w:highlight w:val="none"/>
              </w:rPr>
              <w:t>人及以上单数，其中技术、经济类专家不得少于总人数的2/3，除采购人代表外的专家将在乐采云平台的评标专家库中随机抽取产生。</w:t>
            </w:r>
          </w:p>
        </w:tc>
      </w:tr>
      <w:tr w14:paraId="098CEE6F">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1F078EA9">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w:t>
            </w:r>
          </w:p>
        </w:tc>
        <w:tc>
          <w:tcPr>
            <w:tcW w:w="1531" w:type="dxa"/>
            <w:tcBorders>
              <w:top w:val="single" w:color="auto" w:sz="4" w:space="0"/>
              <w:left w:val="single" w:color="auto" w:sz="4" w:space="0"/>
              <w:bottom w:val="single" w:color="auto" w:sz="4" w:space="0"/>
              <w:right w:val="single" w:color="auto" w:sz="4" w:space="0"/>
            </w:tcBorders>
            <w:vAlign w:val="center"/>
          </w:tcPr>
          <w:p w14:paraId="7FF8B285">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履约担保</w:t>
            </w:r>
          </w:p>
        </w:tc>
        <w:tc>
          <w:tcPr>
            <w:tcW w:w="7275" w:type="dxa"/>
            <w:tcBorders>
              <w:top w:val="single" w:color="auto" w:sz="4" w:space="0"/>
              <w:left w:val="single" w:color="auto" w:sz="4" w:space="0"/>
              <w:bottom w:val="single" w:color="auto" w:sz="4" w:space="0"/>
              <w:right w:val="single" w:color="auto" w:sz="4" w:space="0"/>
            </w:tcBorders>
            <w:vAlign w:val="center"/>
          </w:tcPr>
          <w:p w14:paraId="02E5A350">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□不需要</w:t>
            </w:r>
          </w:p>
          <w:p w14:paraId="3EB6E571">
            <w:pPr>
              <w:spacing w:line="312" w:lineRule="auto"/>
              <w:rPr>
                <w:rFonts w:hint="default" w:ascii="新宋体" w:hAnsi="新宋体" w:eastAsia="宋体" w:cs="新宋体"/>
                <w:color w:val="auto"/>
                <w:kern w:val="0"/>
                <w:sz w:val="22"/>
                <w:szCs w:val="22"/>
                <w:highlight w:val="none"/>
                <w:lang w:val="en-US" w:eastAsia="zh-CN"/>
              </w:rPr>
            </w:pPr>
            <w:r>
              <w:rPr>
                <w:rFonts w:hint="eastAsia" w:ascii="新宋体" w:hAnsi="新宋体" w:eastAsia="新宋体" w:cs="新宋体"/>
                <w:snapToGrid w:val="0"/>
                <w:color w:val="auto"/>
                <w:sz w:val="22"/>
                <w:szCs w:val="22"/>
                <w:highlight w:val="none"/>
              </w:rPr>
              <w:sym w:font="Wingdings" w:char="00FE"/>
            </w:r>
            <w:r>
              <w:rPr>
                <w:rFonts w:hint="eastAsia" w:ascii="新宋体" w:hAnsi="新宋体" w:eastAsia="新宋体" w:cs="新宋体"/>
                <w:color w:val="auto"/>
                <w:sz w:val="22"/>
                <w:szCs w:val="22"/>
                <w:highlight w:val="none"/>
              </w:rPr>
              <w:t xml:space="preserve">需要 </w:t>
            </w:r>
            <w:r>
              <w:rPr>
                <w:rFonts w:hint="eastAsia" w:ascii="新宋体" w:hAnsi="新宋体" w:eastAsia="新宋体" w:cs="新宋体"/>
                <w:color w:val="auto"/>
                <w:sz w:val="22"/>
                <w:szCs w:val="22"/>
                <w:highlight w:val="none"/>
                <w:lang w:val="en-US" w:eastAsia="zh-CN"/>
              </w:rPr>
              <w:t>合同金额的2.5%履约保证金</w:t>
            </w:r>
          </w:p>
        </w:tc>
      </w:tr>
      <w:tr w14:paraId="15657093">
        <w:tblPrEx>
          <w:tblCellMar>
            <w:top w:w="0" w:type="dxa"/>
            <w:left w:w="108" w:type="dxa"/>
            <w:bottom w:w="0" w:type="dxa"/>
            <w:right w:w="108" w:type="dxa"/>
          </w:tblCellMar>
        </w:tblPrEx>
        <w:trPr>
          <w:trHeight w:val="850" w:hRule="atLeast"/>
        </w:trPr>
        <w:tc>
          <w:tcPr>
            <w:tcW w:w="1048" w:type="dxa"/>
            <w:gridSpan w:val="2"/>
            <w:tcBorders>
              <w:top w:val="single" w:color="auto" w:sz="4" w:space="0"/>
              <w:left w:val="single" w:color="auto" w:sz="4" w:space="0"/>
              <w:bottom w:val="single" w:color="auto" w:sz="4" w:space="0"/>
              <w:right w:val="single" w:color="auto" w:sz="4" w:space="0"/>
            </w:tcBorders>
            <w:vAlign w:val="center"/>
          </w:tcPr>
          <w:p w14:paraId="7EA3BC49">
            <w:pPr>
              <w:spacing w:line="312" w:lineRule="auto"/>
              <w:jc w:val="center"/>
              <w:rPr>
                <w:rFonts w:hint="eastAsia" w:ascii="新宋体" w:hAnsi="新宋体" w:eastAsia="新宋体" w:cs="新宋体"/>
                <w:color w:val="auto"/>
                <w:kern w:val="0"/>
                <w:sz w:val="22"/>
                <w:szCs w:val="22"/>
                <w:highlight w:val="none"/>
              </w:rPr>
            </w:pPr>
            <w:bookmarkStart w:id="9" w:name="_Toc223715994"/>
            <w:bookmarkStart w:id="10" w:name="_Toc221374622"/>
            <w:bookmarkStart w:id="11" w:name="_Toc241404198"/>
            <w:bookmarkStart w:id="12" w:name="_Toc239145350"/>
            <w:bookmarkStart w:id="13" w:name="_Toc221356947"/>
            <w:bookmarkStart w:id="14" w:name="_Toc221423615"/>
            <w:bookmarkStart w:id="15" w:name="_Toc222114875"/>
            <w:bookmarkStart w:id="16" w:name="_Toc265529379"/>
            <w:bookmarkStart w:id="17" w:name="_Toc221356882"/>
            <w:r>
              <w:rPr>
                <w:rFonts w:hint="eastAsia" w:ascii="新宋体" w:hAnsi="新宋体" w:eastAsia="新宋体" w:cs="新宋体"/>
                <w:color w:val="auto"/>
                <w:kern w:val="0"/>
                <w:sz w:val="22"/>
                <w:szCs w:val="22"/>
                <w:highlight w:val="none"/>
              </w:rPr>
              <w:t>22</w:t>
            </w:r>
          </w:p>
        </w:tc>
        <w:tc>
          <w:tcPr>
            <w:tcW w:w="1531" w:type="dxa"/>
            <w:tcBorders>
              <w:top w:val="single" w:color="auto" w:sz="4" w:space="0"/>
              <w:left w:val="single" w:color="auto" w:sz="4" w:space="0"/>
              <w:bottom w:val="single" w:color="auto" w:sz="4" w:space="0"/>
              <w:right w:val="single" w:color="auto" w:sz="4" w:space="0"/>
            </w:tcBorders>
            <w:vAlign w:val="center"/>
          </w:tcPr>
          <w:p w14:paraId="6A7B43EA">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原 件</w:t>
            </w:r>
          </w:p>
        </w:tc>
        <w:tc>
          <w:tcPr>
            <w:tcW w:w="7275" w:type="dxa"/>
            <w:tcBorders>
              <w:top w:val="single" w:color="auto" w:sz="4" w:space="0"/>
              <w:left w:val="single" w:color="auto" w:sz="4" w:space="0"/>
              <w:bottom w:val="single" w:color="auto" w:sz="4" w:space="0"/>
              <w:right w:val="single" w:color="auto" w:sz="4" w:space="0"/>
            </w:tcBorders>
            <w:vAlign w:val="center"/>
          </w:tcPr>
          <w:p w14:paraId="15E94A8B">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□提交</w:t>
            </w:r>
          </w:p>
          <w:p w14:paraId="31DD6481">
            <w:pPr>
              <w:spacing w:line="312" w:lineRule="auto"/>
              <w:rPr>
                <w:rFonts w:hint="eastAsia" w:ascii="新宋体" w:hAnsi="新宋体" w:eastAsia="新宋体" w:cs="新宋体"/>
                <w:snapToGrid w:val="0"/>
                <w:color w:val="auto"/>
                <w:sz w:val="22"/>
                <w:szCs w:val="22"/>
                <w:highlight w:val="none"/>
              </w:rPr>
            </w:pPr>
            <w:r>
              <w:rPr>
                <w:rFonts w:ascii="新宋体" w:hAnsi="新宋体" w:eastAsia="新宋体" w:cs="新宋体"/>
                <w:b/>
                <w:snapToGrid w:val="0"/>
                <w:color w:val="auto"/>
                <w:sz w:val="22"/>
                <w:szCs w:val="22"/>
                <w:highlight w:val="none"/>
              </w:rPr>
              <w:sym w:font="Wingdings" w:char="00FE"/>
            </w:r>
            <w:r>
              <w:rPr>
                <w:rFonts w:hint="eastAsia" w:ascii="新宋体" w:hAnsi="新宋体" w:eastAsia="新宋体" w:cs="新宋体"/>
                <w:color w:val="auto"/>
                <w:kern w:val="0"/>
                <w:sz w:val="22"/>
                <w:szCs w:val="22"/>
                <w:highlight w:val="none"/>
              </w:rPr>
              <w:t>不提交</w:t>
            </w:r>
          </w:p>
        </w:tc>
      </w:tr>
      <w:tr w14:paraId="015852C0">
        <w:tblPrEx>
          <w:tblCellMar>
            <w:top w:w="0" w:type="dxa"/>
            <w:left w:w="108" w:type="dxa"/>
            <w:bottom w:w="0" w:type="dxa"/>
            <w:right w:w="108" w:type="dxa"/>
          </w:tblCellMar>
        </w:tblPrEx>
        <w:trPr>
          <w:trHeight w:val="594"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6F9C645B">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23</w:t>
            </w:r>
          </w:p>
        </w:tc>
        <w:tc>
          <w:tcPr>
            <w:tcW w:w="15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DC2F6A9">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投标供应商信用查询</w:t>
            </w:r>
          </w:p>
        </w:tc>
        <w:tc>
          <w:tcPr>
            <w:tcW w:w="7275" w:type="dxa"/>
            <w:tcBorders>
              <w:top w:val="single" w:color="auto" w:sz="4" w:space="0"/>
              <w:left w:val="single" w:color="auto" w:sz="4" w:space="0"/>
              <w:bottom w:val="single" w:color="auto" w:sz="4" w:space="0"/>
              <w:right w:val="single" w:color="auto" w:sz="4" w:space="0"/>
            </w:tcBorders>
            <w:shd w:val="clear" w:color="auto" w:fill="FFFFFF"/>
            <w:vAlign w:val="center"/>
          </w:tcPr>
          <w:p w14:paraId="1B7D9820">
            <w:pPr>
              <w:spacing w:line="312"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（1）供应商信用信息查询的查询渠道：“信用中国”(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1"/>
                <w:rFonts w:hint="eastAsia" w:ascii="新宋体" w:hAnsi="新宋体" w:eastAsia="新宋体" w:cs="新宋体"/>
                <w:color w:val="auto"/>
                <w:sz w:val="22"/>
                <w:szCs w:val="22"/>
                <w:highlight w:val="none"/>
              </w:rPr>
              <w:t>www.creditchina.gov.cn</w:t>
            </w:r>
            <w:r>
              <w:rPr>
                <w:rStyle w:val="31"/>
                <w:rFonts w:hint="eastAsia" w:ascii="新宋体" w:hAnsi="新宋体" w:eastAsia="新宋体" w:cs="新宋体"/>
                <w:color w:val="auto"/>
                <w:sz w:val="22"/>
                <w:szCs w:val="22"/>
                <w:highlight w:val="none"/>
              </w:rPr>
              <w:fldChar w:fldCharType="end"/>
            </w:r>
            <w:r>
              <w:rPr>
                <w:rFonts w:hint="eastAsia" w:ascii="新宋体" w:hAnsi="新宋体" w:eastAsia="新宋体" w:cs="新宋体"/>
                <w:color w:val="auto"/>
                <w:sz w:val="22"/>
                <w:szCs w:val="22"/>
                <w:highlight w:val="none"/>
              </w:rPr>
              <w:t>)；“中国政府采购网”（http://www.ccgp.gov.cn/）；</w:t>
            </w:r>
          </w:p>
          <w:p w14:paraId="3C41B83A">
            <w:pPr>
              <w:spacing w:line="312"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（2）供应商信用信息查询截止时点：公告发布至本项目投标截止时间。</w:t>
            </w:r>
          </w:p>
          <w:p w14:paraId="4045502D">
            <w:pPr>
              <w:spacing w:line="312"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（3）供应商信用信息查询记录和证据留存的具体方式：网页截图打印；</w:t>
            </w:r>
          </w:p>
          <w:p w14:paraId="3E21B6A6">
            <w:pPr>
              <w:spacing w:line="312"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（4）信用信息的使用规则：</w:t>
            </w:r>
          </w:p>
          <w:p w14:paraId="2E68D227">
            <w:pPr>
              <w:spacing w:line="312"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在“信用中国”具有负面记录：列入失信被执行人、重大税收违法案件当事人名单、采购严重违法失信行为名单；</w:t>
            </w:r>
          </w:p>
          <w:p w14:paraId="0652DF77">
            <w:pPr>
              <w:spacing w:line="312"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（5）具有以上（4）所述信息记录的供应商，其投标做无效投标处理。</w:t>
            </w:r>
          </w:p>
          <w:p w14:paraId="34537BAC">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u w:val="single"/>
              </w:rPr>
              <w:t>（6）▲</w:t>
            </w:r>
            <w:r>
              <w:rPr>
                <w:rFonts w:hint="eastAsia" w:ascii="新宋体" w:hAnsi="新宋体" w:eastAsia="新宋体" w:cs="新宋体"/>
                <w:b/>
                <w:color w:val="auto"/>
                <w:sz w:val="22"/>
                <w:szCs w:val="22"/>
                <w:highlight w:val="none"/>
                <w:u w:val="single"/>
              </w:rPr>
              <w:t>关于</w:t>
            </w:r>
            <w:r>
              <w:rPr>
                <w:rFonts w:hint="eastAsia" w:ascii="新宋体" w:hAnsi="新宋体" w:eastAsia="新宋体" w:cs="新宋体"/>
                <w:b/>
                <w:bCs/>
                <w:color w:val="auto"/>
                <w:sz w:val="22"/>
                <w:szCs w:val="22"/>
                <w:highlight w:val="none"/>
                <w:u w:val="single"/>
              </w:rPr>
              <w:t>“信用中国”(www.creditchina.gov.cn) 信用记录网页截图相关说明</w:t>
            </w:r>
            <w:r>
              <w:rPr>
                <w:rFonts w:hint="eastAsia" w:ascii="新宋体" w:hAnsi="新宋体" w:eastAsia="新宋体" w:cs="新宋体"/>
                <w:bCs/>
                <w:color w:val="auto"/>
                <w:sz w:val="22"/>
                <w:szCs w:val="22"/>
                <w:highlight w:val="none"/>
              </w:rPr>
              <w:t>：</w:t>
            </w:r>
          </w:p>
          <w:p w14:paraId="01BC4C1B">
            <w:pPr>
              <w:spacing w:line="312" w:lineRule="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①若供应商查询页面“行政处罚”栏显示有行政处罚事项，须将所有行政处罚事项在“信用中国”网页上列出的明细一并打印，并附说明，是否属于“</w:t>
            </w:r>
            <w:r>
              <w:rPr>
                <w:rFonts w:hint="eastAsia" w:ascii="新宋体" w:hAnsi="新宋体" w:eastAsia="新宋体" w:cs="新宋体"/>
                <w:color w:val="auto"/>
                <w:sz w:val="22"/>
                <w:szCs w:val="22"/>
                <w:highlight w:val="none"/>
              </w:rPr>
              <w:t>经营活动中的重大违法记录</w:t>
            </w:r>
            <w:r>
              <w:rPr>
                <w:rFonts w:hint="eastAsia" w:ascii="新宋体" w:hAnsi="新宋体" w:eastAsia="新宋体" w:cs="新宋体"/>
                <w:bCs/>
                <w:color w:val="auto"/>
                <w:sz w:val="22"/>
                <w:szCs w:val="22"/>
                <w:highlight w:val="none"/>
              </w:rPr>
              <w:t>”。</w:t>
            </w:r>
          </w:p>
          <w:p w14:paraId="2FC05A63">
            <w:pPr>
              <w:spacing w:line="312" w:lineRule="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②若供应商在“信用中国”无数据，亦须将搜索结果页面打印，并附说明。</w:t>
            </w:r>
          </w:p>
        </w:tc>
      </w:tr>
      <w:tr w14:paraId="05D60510">
        <w:tblPrEx>
          <w:tblCellMar>
            <w:top w:w="0" w:type="dxa"/>
            <w:left w:w="108" w:type="dxa"/>
            <w:bottom w:w="0" w:type="dxa"/>
            <w:right w:w="108" w:type="dxa"/>
          </w:tblCellMar>
        </w:tblPrEx>
        <w:trPr>
          <w:trHeight w:val="594"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346B3E82">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24</w:t>
            </w:r>
          </w:p>
        </w:tc>
        <w:tc>
          <w:tcPr>
            <w:tcW w:w="15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149C1E5">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合同备案</w:t>
            </w:r>
          </w:p>
        </w:tc>
        <w:tc>
          <w:tcPr>
            <w:tcW w:w="7275" w:type="dxa"/>
            <w:tcBorders>
              <w:top w:val="single" w:color="auto" w:sz="4" w:space="0"/>
              <w:left w:val="single" w:color="auto" w:sz="4" w:space="0"/>
              <w:bottom w:val="single" w:color="auto" w:sz="4" w:space="0"/>
              <w:right w:val="single" w:color="auto" w:sz="4" w:space="0"/>
            </w:tcBorders>
            <w:shd w:val="clear" w:color="auto" w:fill="FFFFFF"/>
            <w:vAlign w:val="center"/>
          </w:tcPr>
          <w:p w14:paraId="55A023CD">
            <w:pPr>
              <w:spacing w:line="312"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（1）中标供应商须在中标通知书发出之日起30日历天内与采购人签订合同。</w:t>
            </w:r>
          </w:p>
          <w:p w14:paraId="7B8A5B1B">
            <w:pPr>
              <w:spacing w:line="312" w:lineRule="auto"/>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color w:val="auto"/>
                <w:sz w:val="22"/>
                <w:szCs w:val="22"/>
                <w:highlight w:val="none"/>
              </w:rPr>
              <w:t>（2）中标供应商与采购人签订合同后，2日历天内将合同扫描件电子版发给采购代理机构：邮箱：</w:t>
            </w:r>
            <w:r>
              <w:rPr>
                <w:rFonts w:hint="eastAsia" w:ascii="新宋体" w:hAnsi="新宋体" w:eastAsia="新宋体" w:cs="新宋体"/>
                <w:b/>
                <w:color w:val="auto"/>
                <w:sz w:val="22"/>
                <w:szCs w:val="22"/>
                <w:highlight w:val="none"/>
                <w:u w:val="single"/>
              </w:rPr>
              <w:t>ye462978466@qq.com</w:t>
            </w:r>
            <w:r>
              <w:rPr>
                <w:rFonts w:hint="eastAsia" w:ascii="新宋体" w:hAnsi="新宋体" w:eastAsia="新宋体" w:cs="新宋体"/>
                <w:color w:val="auto"/>
                <w:sz w:val="22"/>
                <w:szCs w:val="22"/>
                <w:highlight w:val="none"/>
              </w:rPr>
              <w:t>。</w:t>
            </w:r>
          </w:p>
        </w:tc>
      </w:tr>
      <w:tr w14:paraId="23667241">
        <w:tblPrEx>
          <w:tblCellMar>
            <w:top w:w="0" w:type="dxa"/>
            <w:left w:w="108" w:type="dxa"/>
            <w:bottom w:w="0" w:type="dxa"/>
            <w:right w:w="108" w:type="dxa"/>
          </w:tblCellMar>
        </w:tblPrEx>
        <w:trPr>
          <w:trHeight w:val="855"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7E8CD9CD">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25</w:t>
            </w:r>
          </w:p>
        </w:tc>
        <w:tc>
          <w:tcPr>
            <w:tcW w:w="15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C8C8701">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合同履约管理</w:t>
            </w:r>
          </w:p>
        </w:tc>
        <w:tc>
          <w:tcPr>
            <w:tcW w:w="7275" w:type="dxa"/>
            <w:tcBorders>
              <w:top w:val="single" w:color="auto" w:sz="4" w:space="0"/>
              <w:left w:val="single" w:color="auto" w:sz="4" w:space="0"/>
              <w:bottom w:val="single" w:color="auto" w:sz="4" w:space="0"/>
              <w:right w:val="single" w:color="auto" w:sz="4" w:space="0"/>
            </w:tcBorders>
            <w:shd w:val="clear" w:color="auto" w:fill="FFFFFF"/>
            <w:vAlign w:val="center"/>
          </w:tcPr>
          <w:p w14:paraId="3624232E">
            <w:pPr>
              <w:spacing w:line="312" w:lineRule="auto"/>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合同签订后，采购人依法加强对合同履约进行管理，并在中标单位服务、项目验收等重要关节，如实填写《合同验收报告》（或考核资料），并及时向集团公司采购管理部门报告验收过程中遇到的问题。</w:t>
            </w:r>
          </w:p>
        </w:tc>
      </w:tr>
      <w:tr w14:paraId="4CC0FD93">
        <w:tblPrEx>
          <w:tblCellMar>
            <w:top w:w="0" w:type="dxa"/>
            <w:left w:w="108" w:type="dxa"/>
            <w:bottom w:w="0" w:type="dxa"/>
            <w:right w:w="108" w:type="dxa"/>
          </w:tblCellMar>
        </w:tblPrEx>
        <w:trPr>
          <w:trHeight w:val="63" w:hRule="atLeast"/>
        </w:trPr>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2C39F996">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26</w:t>
            </w:r>
          </w:p>
        </w:tc>
        <w:tc>
          <w:tcPr>
            <w:tcW w:w="15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728BE64">
            <w:pPr>
              <w:spacing w:line="312" w:lineRule="auto"/>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解释权</w:t>
            </w:r>
          </w:p>
        </w:tc>
        <w:tc>
          <w:tcPr>
            <w:tcW w:w="7275" w:type="dxa"/>
            <w:tcBorders>
              <w:top w:val="single" w:color="auto" w:sz="4" w:space="0"/>
              <w:left w:val="single" w:color="auto" w:sz="4" w:space="0"/>
              <w:bottom w:val="single" w:color="auto" w:sz="4" w:space="0"/>
              <w:right w:val="single" w:color="auto" w:sz="4" w:space="0"/>
            </w:tcBorders>
            <w:shd w:val="clear" w:color="auto" w:fill="FFFFFF"/>
            <w:vAlign w:val="center"/>
          </w:tcPr>
          <w:p w14:paraId="011CE670">
            <w:pPr>
              <w:spacing w:line="312"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采购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bl>
    <w:p w14:paraId="22CCD4A9">
      <w:pPr>
        <w:pStyle w:val="4"/>
        <w:rPr>
          <w:rFonts w:hint="eastAsia" w:ascii="新宋体" w:hAnsi="新宋体" w:eastAsia="新宋体" w:cs="新宋体"/>
          <w:color w:val="auto"/>
          <w:sz w:val="36"/>
          <w:szCs w:val="36"/>
          <w:highlight w:val="none"/>
        </w:rPr>
      </w:pPr>
      <w:r>
        <w:rPr>
          <w:rFonts w:hint="eastAsia" w:ascii="新宋体" w:hAnsi="新宋体" w:eastAsia="新宋体" w:cs="新宋体"/>
          <w:color w:val="auto"/>
          <w:sz w:val="36"/>
          <w:szCs w:val="36"/>
          <w:highlight w:val="none"/>
        </w:rPr>
        <w:br w:type="page"/>
      </w:r>
      <w:bookmarkStart w:id="18" w:name="_Toc21377"/>
      <w:bookmarkStart w:id="19" w:name="_Toc71374670"/>
      <w:bookmarkStart w:id="20" w:name="_Toc71374671"/>
      <w:r>
        <w:rPr>
          <w:rFonts w:hint="eastAsia" w:ascii="新宋体" w:hAnsi="新宋体" w:eastAsia="新宋体" w:cs="新宋体"/>
          <w:color w:val="auto"/>
          <w:sz w:val="36"/>
          <w:szCs w:val="36"/>
          <w:highlight w:val="none"/>
        </w:rPr>
        <w:t>第一部分    投标供应商须知</w:t>
      </w:r>
      <w:bookmarkEnd w:id="9"/>
      <w:bookmarkEnd w:id="10"/>
      <w:bookmarkEnd w:id="11"/>
      <w:bookmarkEnd w:id="12"/>
      <w:bookmarkEnd w:id="13"/>
      <w:bookmarkEnd w:id="14"/>
      <w:bookmarkEnd w:id="15"/>
      <w:bookmarkEnd w:id="16"/>
      <w:bookmarkEnd w:id="17"/>
      <w:bookmarkEnd w:id="18"/>
      <w:bookmarkEnd w:id="19"/>
      <w:bookmarkEnd w:id="20"/>
    </w:p>
    <w:p w14:paraId="270717AF">
      <w:pPr>
        <w:spacing w:before="100" w:beforeAutospacing="1" w:after="100" w:afterAutospacing="1" w:line="440" w:lineRule="exact"/>
        <w:jc w:val="center"/>
        <w:outlineLvl w:val="0"/>
        <w:rPr>
          <w:rFonts w:hint="eastAsia" w:ascii="新宋体" w:hAnsi="新宋体" w:eastAsia="新宋体" w:cs="新宋体"/>
          <w:b/>
          <w:bCs/>
          <w:color w:val="auto"/>
          <w:sz w:val="26"/>
          <w:szCs w:val="26"/>
          <w:highlight w:val="none"/>
        </w:rPr>
      </w:pPr>
      <w:bookmarkStart w:id="21" w:name="_Toc71374672"/>
      <w:bookmarkStart w:id="22" w:name="_Toc222114876"/>
      <w:bookmarkStart w:id="23" w:name="_Toc221356948"/>
      <w:bookmarkStart w:id="24" w:name="_Toc265529380"/>
      <w:bookmarkStart w:id="25" w:name="_Toc221374623"/>
      <w:bookmarkStart w:id="26" w:name="_Toc223715995"/>
      <w:bookmarkStart w:id="27" w:name="_Toc239145351"/>
      <w:bookmarkStart w:id="28" w:name="_Toc221356883"/>
      <w:bookmarkStart w:id="29" w:name="_Toc221423616"/>
      <w:bookmarkStart w:id="30" w:name="_Toc241404199"/>
      <w:bookmarkStart w:id="31" w:name="_Toc29602"/>
      <w:r>
        <w:rPr>
          <w:rFonts w:hint="eastAsia" w:ascii="新宋体" w:hAnsi="新宋体" w:eastAsia="新宋体" w:cs="新宋体"/>
          <w:b/>
          <w:bCs/>
          <w:color w:val="auto"/>
          <w:sz w:val="26"/>
          <w:szCs w:val="26"/>
          <w:highlight w:val="none"/>
        </w:rPr>
        <w:t>一、  说明</w:t>
      </w:r>
      <w:bookmarkEnd w:id="21"/>
      <w:bookmarkEnd w:id="22"/>
      <w:bookmarkEnd w:id="23"/>
      <w:bookmarkEnd w:id="24"/>
      <w:bookmarkEnd w:id="25"/>
      <w:bookmarkEnd w:id="26"/>
      <w:bookmarkEnd w:id="27"/>
      <w:bookmarkEnd w:id="28"/>
      <w:bookmarkEnd w:id="29"/>
      <w:bookmarkEnd w:id="30"/>
      <w:bookmarkEnd w:id="31"/>
    </w:p>
    <w:p w14:paraId="56246891">
      <w:pPr>
        <w:numPr>
          <w:ilvl w:val="0"/>
          <w:numId w:val="2"/>
        </w:numPr>
        <w:tabs>
          <w:tab w:val="left" w:pos="540"/>
          <w:tab w:val="left" w:pos="900"/>
          <w:tab w:val="clear" w:pos="42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本次采购是</w:t>
      </w:r>
      <w:r>
        <w:rPr>
          <w:rFonts w:hint="eastAsia" w:ascii="新宋体" w:hAnsi="新宋体" w:eastAsia="新宋体" w:cs="新宋体"/>
          <w:color w:val="auto"/>
          <w:kern w:val="0"/>
          <w:sz w:val="22"/>
          <w:szCs w:val="22"/>
          <w:highlight w:val="none"/>
        </w:rPr>
        <w:t>根据《温州市市属国有企业采购管理办法》等有关规定</w:t>
      </w:r>
      <w:r>
        <w:rPr>
          <w:rFonts w:hint="eastAsia" w:ascii="新宋体" w:hAnsi="新宋体" w:eastAsia="新宋体" w:cs="新宋体"/>
          <w:color w:val="auto"/>
          <w:sz w:val="22"/>
          <w:szCs w:val="22"/>
          <w:highlight w:val="none"/>
        </w:rPr>
        <w:t>及有关法规组织和实施的。</w:t>
      </w:r>
    </w:p>
    <w:p w14:paraId="4DCC7444">
      <w:pPr>
        <w:numPr>
          <w:ilvl w:val="0"/>
          <w:numId w:val="2"/>
        </w:numPr>
        <w:tabs>
          <w:tab w:val="left" w:pos="540"/>
          <w:tab w:val="left" w:pos="900"/>
          <w:tab w:val="clear" w:pos="42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合格投标供应商</w:t>
      </w:r>
    </w:p>
    <w:p w14:paraId="37953CA1">
      <w:pPr>
        <w:tabs>
          <w:tab w:val="left" w:pos="54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投标供应商合格条件见本项目采购公告。</w:t>
      </w:r>
    </w:p>
    <w:p w14:paraId="7343C3DA">
      <w:pPr>
        <w:numPr>
          <w:ilvl w:val="0"/>
          <w:numId w:val="2"/>
        </w:numPr>
        <w:tabs>
          <w:tab w:val="left" w:pos="540"/>
          <w:tab w:val="left" w:pos="900"/>
          <w:tab w:val="clear" w:pos="42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投标供应商代表</w:t>
      </w:r>
    </w:p>
    <w:p w14:paraId="09BD7A75">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指全权代表投标供应商参加投标活动并签署投标文件的人。如果投标供应商代表不是法定代表人，须持有《法定代表人授权书》。</w:t>
      </w:r>
    </w:p>
    <w:p w14:paraId="450FA283">
      <w:pPr>
        <w:numPr>
          <w:ilvl w:val="0"/>
          <w:numId w:val="2"/>
        </w:numPr>
        <w:tabs>
          <w:tab w:val="left" w:pos="540"/>
          <w:tab w:val="left" w:pos="900"/>
          <w:tab w:val="clear" w:pos="42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投标费用</w:t>
      </w:r>
    </w:p>
    <w:p w14:paraId="03DA446D">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投标供应商应承担所有与准备和参加投标有关费用，不论投标的结果如何，采购人和采购代理机构均无义务和责任承担这些费用。</w:t>
      </w:r>
    </w:p>
    <w:p w14:paraId="677FABFD">
      <w:pPr>
        <w:spacing w:before="100" w:beforeAutospacing="1" w:after="100" w:afterAutospacing="1" w:line="440" w:lineRule="exact"/>
        <w:jc w:val="center"/>
        <w:outlineLvl w:val="0"/>
        <w:rPr>
          <w:rFonts w:hint="eastAsia" w:ascii="新宋体" w:hAnsi="新宋体" w:eastAsia="新宋体" w:cs="新宋体"/>
          <w:b/>
          <w:bCs/>
          <w:color w:val="auto"/>
          <w:sz w:val="26"/>
          <w:szCs w:val="26"/>
          <w:highlight w:val="none"/>
        </w:rPr>
      </w:pPr>
      <w:bookmarkStart w:id="32" w:name="_Toc30511"/>
      <w:bookmarkStart w:id="33" w:name="_Toc239145352"/>
      <w:bookmarkStart w:id="34" w:name="_Toc71374673"/>
      <w:bookmarkStart w:id="35" w:name="_Toc222114877"/>
      <w:bookmarkStart w:id="36" w:name="_Toc221423617"/>
      <w:bookmarkStart w:id="37" w:name="_Toc221356949"/>
      <w:bookmarkStart w:id="38" w:name="_Toc221356884"/>
      <w:bookmarkStart w:id="39" w:name="_Toc265529381"/>
      <w:bookmarkStart w:id="40" w:name="_Toc241404200"/>
      <w:bookmarkStart w:id="41" w:name="_Toc221374624"/>
      <w:bookmarkStart w:id="42" w:name="_Toc223715996"/>
      <w:r>
        <w:rPr>
          <w:rFonts w:hint="eastAsia" w:ascii="新宋体" w:hAnsi="新宋体" w:eastAsia="新宋体" w:cs="新宋体"/>
          <w:b/>
          <w:bCs/>
          <w:color w:val="auto"/>
          <w:sz w:val="26"/>
          <w:szCs w:val="26"/>
          <w:highlight w:val="none"/>
        </w:rPr>
        <w:t>二、 采购文件</w:t>
      </w:r>
      <w:bookmarkEnd w:id="32"/>
      <w:bookmarkEnd w:id="33"/>
      <w:bookmarkEnd w:id="34"/>
      <w:bookmarkEnd w:id="35"/>
      <w:bookmarkEnd w:id="36"/>
      <w:bookmarkEnd w:id="37"/>
      <w:bookmarkEnd w:id="38"/>
      <w:bookmarkEnd w:id="39"/>
      <w:bookmarkEnd w:id="40"/>
      <w:bookmarkEnd w:id="41"/>
      <w:bookmarkEnd w:id="42"/>
    </w:p>
    <w:p w14:paraId="27F5F110">
      <w:pPr>
        <w:numPr>
          <w:ilvl w:val="0"/>
          <w:numId w:val="3"/>
        </w:num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采购文件由采购文件目录所列内容及相关资料组成。</w:t>
      </w:r>
    </w:p>
    <w:p w14:paraId="212DB8B9">
      <w:pPr>
        <w:numPr>
          <w:ilvl w:val="0"/>
          <w:numId w:val="3"/>
        </w:numPr>
        <w:tabs>
          <w:tab w:val="left" w:pos="54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采购文件的澄清</w:t>
      </w:r>
    </w:p>
    <w:p w14:paraId="721456BD">
      <w:pPr>
        <w:tabs>
          <w:tab w:val="left" w:pos="54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投标供应商对采购文件如有疑点或未尽事宜要求澄清，或认为有必要进行说明或交流，可以在知道或应知其权益受到损害之日起</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日内，以书面形式（包括信函、传真、下同）向采购人及代理机构提出质疑，</w:t>
      </w:r>
      <w:r>
        <w:rPr>
          <w:rFonts w:hint="eastAsia" w:ascii="宋体" w:hAnsi="宋体" w:cs="宋体"/>
          <w:color w:val="auto"/>
          <w:szCs w:val="21"/>
          <w:highlight w:val="none"/>
        </w:rPr>
        <w:t>但质疑不得迟于采购文件规定的询疑截止时间前使采购人收到，采购人和采购代理机构将用书面形式予以答复。</w:t>
      </w:r>
      <w:r>
        <w:rPr>
          <w:rFonts w:hint="eastAsia" w:ascii="新宋体" w:hAnsi="新宋体" w:eastAsia="新宋体" w:cs="新宋体"/>
          <w:color w:val="auto"/>
          <w:sz w:val="22"/>
          <w:szCs w:val="22"/>
          <w:highlight w:val="none"/>
        </w:rPr>
        <w:t>如有必要，可将不说明问题来源的答复发给各有关投标供应商或召开答疑会。如果标书答疑期内未收到有关疑问，视为投标供应商完全同意采购文件所有条款，且对于采购文件相关表述以及未尽事宜如有争议，以采购人解释为准。</w:t>
      </w:r>
    </w:p>
    <w:p w14:paraId="11508015">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 采购文件的修改</w:t>
      </w:r>
    </w:p>
    <w:p w14:paraId="584E5D00">
      <w:pPr>
        <w:tabs>
          <w:tab w:val="left" w:pos="360"/>
          <w:tab w:val="left" w:pos="747"/>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7.1 在投标截止期前，采购人无论是出于何种原因，均可对采购文件用补充文件的方式进行修改，并在乐采云平台、温州国企采购平台以及采购人集团网站发布更正公告。该澄清和修改的内容为采购文件的组成部分。采购人可以视采购具体情况在采购文件要求提交截止时间前，作出延长投标文件递交截止时间和开标时间的决定，并将变更时间书面通知所有采购文件收受人，并在乐采云平台、温州国企采购平台以及采购人集团网站上发布变更公告。</w:t>
      </w:r>
      <w:bookmarkStart w:id="145" w:name="_GoBack"/>
      <w:bookmarkEnd w:id="145"/>
    </w:p>
    <w:p w14:paraId="5152ABC1">
      <w:pPr>
        <w:tabs>
          <w:tab w:val="left" w:pos="360"/>
          <w:tab w:val="left" w:pos="747"/>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7.2 采购文件如有补充更正均见乐采云平台、温州国企采购平台以及采购人集团网站。投标供应商须在开标前一日自行查看是否有补充更正文件，并按补充更正文件要求投标响应，否则责任自负</w:t>
      </w:r>
      <w:r>
        <w:rPr>
          <w:rFonts w:hint="eastAsia" w:ascii="新宋体" w:hAnsi="新宋体" w:eastAsia="新宋体" w:cs="新宋体"/>
          <w:bCs/>
          <w:color w:val="auto"/>
          <w:sz w:val="22"/>
          <w:szCs w:val="22"/>
          <w:highlight w:val="none"/>
        </w:rPr>
        <w:t>。</w:t>
      </w:r>
    </w:p>
    <w:p w14:paraId="6B93F463">
      <w:pPr>
        <w:spacing w:before="100" w:beforeAutospacing="1" w:after="100" w:afterAutospacing="1" w:line="440" w:lineRule="exact"/>
        <w:jc w:val="center"/>
        <w:outlineLvl w:val="0"/>
        <w:rPr>
          <w:rFonts w:hint="eastAsia" w:ascii="新宋体" w:hAnsi="新宋体" w:eastAsia="新宋体" w:cs="新宋体"/>
          <w:b/>
          <w:bCs/>
          <w:color w:val="auto"/>
          <w:sz w:val="26"/>
          <w:szCs w:val="26"/>
          <w:highlight w:val="none"/>
        </w:rPr>
      </w:pPr>
      <w:bookmarkStart w:id="43" w:name="_Toc221356950"/>
      <w:bookmarkStart w:id="44" w:name="_Toc221423618"/>
      <w:bookmarkStart w:id="45" w:name="_Toc223715997"/>
      <w:bookmarkStart w:id="46" w:name="_Toc239145353"/>
      <w:bookmarkStart w:id="47" w:name="_Toc221374625"/>
      <w:bookmarkStart w:id="48" w:name="_Toc265529382"/>
      <w:bookmarkStart w:id="49" w:name="_Toc241404201"/>
      <w:bookmarkStart w:id="50" w:name="_Toc221356885"/>
      <w:bookmarkStart w:id="51" w:name="_Toc222114878"/>
      <w:bookmarkStart w:id="52" w:name="_Toc71374674"/>
      <w:bookmarkStart w:id="53" w:name="_Toc13546"/>
      <w:r>
        <w:rPr>
          <w:rFonts w:hint="eastAsia" w:ascii="新宋体" w:hAnsi="新宋体" w:eastAsia="新宋体" w:cs="新宋体"/>
          <w:b/>
          <w:bCs/>
          <w:color w:val="auto"/>
          <w:sz w:val="26"/>
          <w:szCs w:val="26"/>
          <w:highlight w:val="none"/>
        </w:rPr>
        <w:t>三、 投标文件的编制</w:t>
      </w:r>
      <w:bookmarkEnd w:id="43"/>
      <w:bookmarkEnd w:id="44"/>
      <w:bookmarkEnd w:id="45"/>
      <w:bookmarkEnd w:id="46"/>
      <w:bookmarkEnd w:id="47"/>
      <w:bookmarkEnd w:id="48"/>
      <w:bookmarkEnd w:id="49"/>
      <w:bookmarkEnd w:id="50"/>
      <w:bookmarkEnd w:id="51"/>
      <w:bookmarkEnd w:id="52"/>
      <w:bookmarkEnd w:id="53"/>
    </w:p>
    <w:p w14:paraId="26135BAC">
      <w:pPr>
        <w:numPr>
          <w:ilvl w:val="0"/>
          <w:numId w:val="4"/>
        </w:num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投标供应商应认真阅读采购文件中所有事项格式、条款和技术规范等。</w:t>
      </w:r>
      <w:r>
        <w:rPr>
          <w:rFonts w:hint="eastAsia" w:ascii="新宋体" w:hAnsi="新宋体" w:eastAsia="新宋体" w:cs="新宋体"/>
          <w:b/>
          <w:color w:val="auto"/>
          <w:sz w:val="22"/>
          <w:szCs w:val="22"/>
          <w:highlight w:val="none"/>
        </w:rPr>
        <w:t>投标供应商没有按照采购文件要求提交全部资料，或者没有对采购文件各个方面做出实质性响应，导致投标被拒绝的风险由投标供应商自行承担。</w:t>
      </w:r>
    </w:p>
    <w:p w14:paraId="4FB0A9EE">
      <w:pPr>
        <w:numPr>
          <w:ilvl w:val="0"/>
          <w:numId w:val="4"/>
        </w:numPr>
        <w:tabs>
          <w:tab w:val="left" w:pos="540"/>
        </w:tabs>
        <w:spacing w:line="460" w:lineRule="exact"/>
        <w:ind w:left="540" w:hanging="54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投标供应商法律责任</w:t>
      </w:r>
    </w:p>
    <w:p w14:paraId="4773DE23">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9.1 投标供应商应保证所提供文件资料的真实性，所有文件资料必须是针对本次投标的。如发现投标供应商提供了虚假文件资料，其投标将被拒绝，并自行承担相应的法律责任。</w:t>
      </w:r>
    </w:p>
    <w:p w14:paraId="431DB3EA">
      <w:pPr>
        <w:numPr>
          <w:ilvl w:val="0"/>
          <w:numId w:val="4"/>
        </w:numPr>
        <w:tabs>
          <w:tab w:val="left" w:pos="540"/>
        </w:tabs>
        <w:spacing w:line="460" w:lineRule="exact"/>
        <w:ind w:left="540" w:hanging="54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投标文件的构成：</w:t>
      </w:r>
    </w:p>
    <w:p w14:paraId="658BF19F">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10.1投标文件由资格审查资料、技术资信标、商务报价标三部分构成：</w:t>
      </w:r>
    </w:p>
    <w:p w14:paraId="44C143E4">
      <w:pPr>
        <w:spacing w:line="430" w:lineRule="exact"/>
        <w:ind w:left="187" w:leftChars="85" w:hanging="9" w:hangingChars="4"/>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（1）资格审查资料</w:t>
      </w:r>
    </w:p>
    <w:tbl>
      <w:tblPr>
        <w:tblStyle w:val="2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115"/>
      </w:tblGrid>
      <w:tr w14:paraId="41A0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14:paraId="45566795">
            <w:pPr>
              <w:overflowPunct w:val="0"/>
              <w:spacing w:line="43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9115" w:type="dxa"/>
            <w:tcBorders>
              <w:top w:val="single" w:color="auto" w:sz="4" w:space="0"/>
              <w:left w:val="single" w:color="auto" w:sz="4" w:space="0"/>
              <w:bottom w:val="single" w:color="auto" w:sz="4" w:space="0"/>
              <w:right w:val="single" w:color="auto" w:sz="4" w:space="0"/>
            </w:tcBorders>
            <w:vAlign w:val="center"/>
          </w:tcPr>
          <w:p w14:paraId="1ED08C3C">
            <w:pPr>
              <w:overflowPunct w:val="0"/>
              <w:spacing w:line="43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 容</w:t>
            </w:r>
          </w:p>
        </w:tc>
      </w:tr>
      <w:tr w14:paraId="2A5DF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14:paraId="46D16E2E">
            <w:pPr>
              <w:overflowPunct w:val="0"/>
              <w:spacing w:line="430" w:lineRule="exact"/>
              <w:jc w:val="center"/>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w:t>
            </w:r>
          </w:p>
        </w:tc>
        <w:tc>
          <w:tcPr>
            <w:tcW w:w="9115" w:type="dxa"/>
            <w:tcBorders>
              <w:top w:val="single" w:color="auto" w:sz="4" w:space="0"/>
              <w:left w:val="single" w:color="auto" w:sz="4" w:space="0"/>
              <w:bottom w:val="single" w:color="auto" w:sz="4" w:space="0"/>
              <w:right w:val="single" w:color="auto" w:sz="4" w:space="0"/>
            </w:tcBorders>
            <w:vAlign w:val="center"/>
          </w:tcPr>
          <w:p w14:paraId="6B7CB5F9">
            <w:pPr>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法定代表人授权书和授权代表人有效身份证明；</w:t>
            </w:r>
          </w:p>
        </w:tc>
      </w:tr>
      <w:tr w14:paraId="0A1E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14:paraId="71774493">
            <w:pPr>
              <w:overflowPunct w:val="0"/>
              <w:spacing w:line="430" w:lineRule="exact"/>
              <w:jc w:val="center"/>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w:t>
            </w:r>
          </w:p>
        </w:tc>
        <w:tc>
          <w:tcPr>
            <w:tcW w:w="9115" w:type="dxa"/>
            <w:tcBorders>
              <w:top w:val="single" w:color="auto" w:sz="4" w:space="0"/>
              <w:left w:val="single" w:color="auto" w:sz="4" w:space="0"/>
              <w:bottom w:val="single" w:color="auto" w:sz="4" w:space="0"/>
              <w:right w:val="single" w:color="auto" w:sz="4" w:space="0"/>
            </w:tcBorders>
            <w:vAlign w:val="center"/>
          </w:tcPr>
          <w:p w14:paraId="078EBE15">
            <w:pPr>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营业执照(或事业法人登记证书或其它工商等登记证明材料)；</w:t>
            </w:r>
          </w:p>
        </w:tc>
      </w:tr>
      <w:tr w14:paraId="5CF2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5C1FEEF7">
            <w:pPr>
              <w:overflowPunct w:val="0"/>
              <w:spacing w:line="430" w:lineRule="exact"/>
              <w:jc w:val="center"/>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lang w:val="en-US" w:eastAsia="zh-CN"/>
              </w:rPr>
              <w:t>3</w:t>
            </w:r>
          </w:p>
        </w:tc>
        <w:tc>
          <w:tcPr>
            <w:tcW w:w="9115" w:type="dxa"/>
            <w:tcBorders>
              <w:top w:val="single" w:color="auto" w:sz="4" w:space="0"/>
              <w:left w:val="single" w:color="auto" w:sz="4" w:space="0"/>
              <w:bottom w:val="single" w:color="auto" w:sz="4" w:space="0"/>
              <w:right w:val="single" w:color="auto" w:sz="4" w:space="0"/>
            </w:tcBorders>
            <w:shd w:val="clear" w:color="auto" w:fill="auto"/>
            <w:vAlign w:val="center"/>
          </w:tcPr>
          <w:p w14:paraId="501F5451">
            <w:pPr>
              <w:rPr>
                <w:rFonts w:hint="eastAsia" w:ascii="新宋体" w:hAnsi="新宋体" w:eastAsia="新宋体" w:cs="新宋体"/>
                <w:bCs/>
                <w:color w:val="auto"/>
                <w:sz w:val="22"/>
                <w:szCs w:val="22"/>
                <w:highlight w:val="none"/>
              </w:rPr>
            </w:pPr>
            <w:r>
              <w:rPr>
                <w:rFonts w:hint="eastAsia" w:ascii="宋体" w:hAnsi="宋体" w:cs="宋体"/>
                <w:color w:val="auto"/>
                <w:kern w:val="0"/>
                <w:sz w:val="22"/>
                <w:szCs w:val="22"/>
                <w:highlight w:val="none"/>
              </w:rPr>
              <w:t>资格条件承诺函</w:t>
            </w:r>
          </w:p>
        </w:tc>
      </w:tr>
      <w:tr w14:paraId="520F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61CE1769">
            <w:pPr>
              <w:overflowPunct w:val="0"/>
              <w:spacing w:line="430" w:lineRule="exact"/>
              <w:jc w:val="center"/>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sz w:val="22"/>
                <w:szCs w:val="22"/>
                <w:highlight w:val="none"/>
                <w:lang w:val="en-US" w:eastAsia="zh-CN"/>
              </w:rPr>
              <w:t>4</w:t>
            </w:r>
          </w:p>
        </w:tc>
        <w:tc>
          <w:tcPr>
            <w:tcW w:w="9115" w:type="dxa"/>
            <w:tcBorders>
              <w:top w:val="single" w:color="auto" w:sz="4" w:space="0"/>
              <w:left w:val="single" w:color="auto" w:sz="4" w:space="0"/>
              <w:bottom w:val="single" w:color="auto" w:sz="4" w:space="0"/>
              <w:right w:val="single" w:color="auto" w:sz="4" w:space="0"/>
            </w:tcBorders>
            <w:shd w:val="clear" w:color="auto" w:fill="auto"/>
            <w:vAlign w:val="center"/>
          </w:tcPr>
          <w:p w14:paraId="3A650F7B">
            <w:pPr>
              <w:rPr>
                <w:rFonts w:hint="eastAsia" w:ascii="新宋体" w:hAnsi="新宋体" w:eastAsia="新宋体" w:cs="新宋体"/>
                <w:bCs/>
                <w:color w:val="auto"/>
                <w:sz w:val="22"/>
                <w:szCs w:val="22"/>
                <w:highlight w:val="none"/>
              </w:rPr>
            </w:pPr>
            <w:r>
              <w:rPr>
                <w:rFonts w:hint="eastAsia" w:ascii="宋体" w:hAnsi="宋体" w:cs="宋体"/>
                <w:bCs/>
                <w:color w:val="auto"/>
                <w:sz w:val="22"/>
                <w:szCs w:val="22"/>
                <w:highlight w:val="none"/>
              </w:rPr>
              <w:t>申请材料真实性声明</w:t>
            </w:r>
          </w:p>
        </w:tc>
      </w:tr>
      <w:tr w14:paraId="30E8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14:paraId="3EF6283C">
            <w:pPr>
              <w:overflowPunct w:val="0"/>
              <w:spacing w:line="430" w:lineRule="exact"/>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5</w:t>
            </w:r>
          </w:p>
        </w:tc>
        <w:tc>
          <w:tcPr>
            <w:tcW w:w="9115" w:type="dxa"/>
            <w:tcBorders>
              <w:top w:val="single" w:color="auto" w:sz="4" w:space="0"/>
              <w:left w:val="single" w:color="auto" w:sz="4" w:space="0"/>
              <w:bottom w:val="single" w:color="auto" w:sz="4" w:space="0"/>
              <w:right w:val="single" w:color="auto" w:sz="4" w:space="0"/>
            </w:tcBorders>
            <w:shd w:val="clear" w:color="auto" w:fill="auto"/>
            <w:vAlign w:val="center"/>
          </w:tcPr>
          <w:p w14:paraId="0472530D">
            <w:pPr>
              <w:rPr>
                <w:rFonts w:hint="eastAsia" w:ascii="新宋体" w:hAnsi="新宋体" w:eastAsia="新宋体" w:cs="新宋体"/>
                <w:bCs/>
                <w:color w:val="auto"/>
                <w:sz w:val="22"/>
                <w:szCs w:val="22"/>
                <w:highlight w:val="none"/>
              </w:rPr>
            </w:pPr>
            <w:r>
              <w:rPr>
                <w:rFonts w:hint="eastAsia" w:ascii="宋体" w:hAnsi="宋体" w:cs="宋体"/>
                <w:bCs/>
                <w:color w:val="auto"/>
                <w:sz w:val="22"/>
                <w:szCs w:val="22"/>
                <w:highlight w:val="none"/>
              </w:rPr>
              <w:t>投标保证金缴纳凭证,最终以实际到账为准（加盖公章）</w:t>
            </w:r>
          </w:p>
        </w:tc>
      </w:tr>
    </w:tbl>
    <w:p w14:paraId="6FA47D38">
      <w:pPr>
        <w:spacing w:line="430" w:lineRule="exact"/>
        <w:ind w:left="187" w:leftChars="85" w:hanging="9" w:hangingChars="4"/>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p w14:paraId="1464CFB9">
      <w:pPr>
        <w:numPr>
          <w:ilvl w:val="0"/>
          <w:numId w:val="5"/>
        </w:numPr>
        <w:spacing w:line="430" w:lineRule="exact"/>
        <w:rPr>
          <w:rFonts w:hint="eastAsia" w:ascii="新宋体" w:hAnsi="新宋体" w:eastAsia="新宋体" w:cs="新宋体"/>
          <w:color w:val="auto"/>
          <w:highlight w:val="none"/>
        </w:rPr>
      </w:pPr>
      <w:r>
        <w:rPr>
          <w:rFonts w:hint="eastAsia" w:ascii="新宋体" w:hAnsi="新宋体" w:eastAsia="新宋体" w:cs="新宋体"/>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7A81A1C7">
      <w:pPr>
        <w:numPr>
          <w:ilvl w:val="0"/>
          <w:numId w:val="5"/>
        </w:numPr>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以上所需的各种证书、证件、证明、执照若系复印件，须在复印件上加盖投标供应商有效的公章。</w:t>
      </w:r>
    </w:p>
    <w:p w14:paraId="5A284AA0">
      <w:pPr>
        <w:numPr>
          <w:ilvl w:val="0"/>
          <w:numId w:val="5"/>
        </w:numPr>
        <w:spacing w:line="430" w:lineRule="exact"/>
        <w:rPr>
          <w:rFonts w:hint="eastAsia" w:ascii="新宋体" w:hAnsi="新宋体" w:eastAsia="新宋体" w:cs="新宋体"/>
          <w:color w:val="auto"/>
          <w:highlight w:val="none"/>
        </w:rPr>
      </w:pPr>
      <w:r>
        <w:rPr>
          <w:rFonts w:hint="eastAsia" w:ascii="新宋体" w:hAnsi="新宋体" w:eastAsia="新宋体" w:cs="新宋体"/>
          <w:b/>
          <w:bCs/>
          <w:color w:val="auto"/>
          <w:szCs w:val="21"/>
          <w:highlight w:val="none"/>
          <w:u w:val="single"/>
        </w:rPr>
        <w:t>▲</w:t>
      </w:r>
      <w:r>
        <w:rPr>
          <w:rFonts w:hint="eastAsia" w:ascii="新宋体" w:hAnsi="新宋体" w:eastAsia="新宋体" w:cs="新宋体"/>
          <w:b/>
          <w:color w:val="auto"/>
          <w:sz w:val="22"/>
          <w:szCs w:val="22"/>
          <w:highlight w:val="none"/>
          <w:u w:val="single"/>
        </w:rPr>
        <w:t>关于</w:t>
      </w:r>
      <w:r>
        <w:rPr>
          <w:rFonts w:hint="eastAsia" w:ascii="新宋体" w:hAnsi="新宋体" w:eastAsia="新宋体" w:cs="新宋体"/>
          <w:b/>
          <w:bCs/>
          <w:color w:val="auto"/>
          <w:sz w:val="22"/>
          <w:szCs w:val="22"/>
          <w:highlight w:val="none"/>
          <w:u w:val="single"/>
        </w:rPr>
        <w:t>“信用中国”(www.creditchina.gov.cn) 信用记录网页截图相关说明</w:t>
      </w:r>
      <w:r>
        <w:rPr>
          <w:rFonts w:hint="eastAsia" w:ascii="新宋体" w:hAnsi="新宋体" w:eastAsia="新宋体" w:cs="新宋体"/>
          <w:bCs/>
          <w:color w:val="auto"/>
          <w:sz w:val="22"/>
          <w:szCs w:val="22"/>
          <w:highlight w:val="none"/>
        </w:rPr>
        <w:t>：</w:t>
      </w:r>
    </w:p>
    <w:p w14:paraId="56C3B55D">
      <w:pPr>
        <w:numPr>
          <w:ilvl w:val="0"/>
          <w:numId w:val="6"/>
        </w:numPr>
        <w:spacing w:line="43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若供应商查询页面“行政处罚”栏显示有行政处罚事项，须将所有行政处罚事项在“信用中国”网页上列出的明细一并打印，并附说明，是否属于“经营活动中的重大违法记录”。</w:t>
      </w:r>
    </w:p>
    <w:p w14:paraId="2D119770">
      <w:pPr>
        <w:numPr>
          <w:ilvl w:val="0"/>
          <w:numId w:val="6"/>
        </w:numPr>
        <w:spacing w:line="43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若供应商在“信用中国”无数据，亦须将搜索结果页面打印，并附说明。</w:t>
      </w:r>
    </w:p>
    <w:p w14:paraId="16EB77AF">
      <w:pPr>
        <w:numPr>
          <w:ilvl w:val="0"/>
          <w:numId w:val="7"/>
        </w:numPr>
        <w:spacing w:line="430" w:lineRule="exact"/>
        <w:ind w:left="187" w:leftChars="85" w:hanging="9" w:hangingChars="4"/>
        <w:rPr>
          <w:rFonts w:hint="eastAsia" w:ascii="新宋体" w:hAnsi="新宋体" w:eastAsia="新宋体" w:cs="新宋体"/>
          <w:color w:val="auto"/>
          <w:highlight w:val="none"/>
        </w:rPr>
      </w:pPr>
      <w:r>
        <w:rPr>
          <w:rFonts w:hint="eastAsia" w:ascii="新宋体" w:hAnsi="新宋体" w:eastAsia="新宋体" w:cs="新宋体"/>
          <w:b/>
          <w:color w:val="auto"/>
          <w:sz w:val="22"/>
          <w:szCs w:val="22"/>
          <w:highlight w:val="none"/>
        </w:rPr>
        <w:t>技术资信标</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9109"/>
      </w:tblGrid>
      <w:tr w14:paraId="39DB1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66CA95FF">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633A045A">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内容</w:t>
            </w:r>
          </w:p>
        </w:tc>
      </w:tr>
      <w:tr w14:paraId="441B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5B027C23">
            <w:pPr>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337A360E">
            <w:pP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针对评分细则，编制目录索引，注明评标细则项目所在投标文件页码，格式自拟</w:t>
            </w:r>
          </w:p>
        </w:tc>
      </w:tr>
      <w:tr w14:paraId="5948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234059E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093B6BBE">
            <w:pP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投标函</w:t>
            </w:r>
          </w:p>
        </w:tc>
      </w:tr>
      <w:tr w14:paraId="61C2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6814795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2238AB50">
            <w:pP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技术要求应答表、商务条款偏离表</w:t>
            </w:r>
          </w:p>
        </w:tc>
      </w:tr>
      <w:tr w14:paraId="6B2E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6CC6EBF4">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688C568A">
            <w:pPr>
              <w:rPr>
                <w:rFonts w:hint="eastAsia" w:ascii="宋体" w:hAnsi="宋体" w:eastAsia="宋体" w:cs="宋体"/>
                <w:bCs/>
                <w:color w:val="auto"/>
                <w:sz w:val="22"/>
                <w:szCs w:val="22"/>
                <w:highlight w:val="none"/>
              </w:rPr>
            </w:pPr>
            <w:r>
              <w:rPr>
                <w:rFonts w:hint="eastAsia" w:ascii="宋体" w:hAnsi="宋体" w:eastAsia="宋体" w:cs="宋体"/>
                <w:b/>
                <w:color w:val="auto"/>
                <w:kern w:val="1"/>
                <w:sz w:val="22"/>
                <w:szCs w:val="22"/>
                <w:highlight w:val="none"/>
              </w:rPr>
              <w:t>资信证明文件（本项为评分量化内容，非强制性要求）</w:t>
            </w:r>
          </w:p>
        </w:tc>
      </w:tr>
      <w:tr w14:paraId="201C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4AFE92F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67DC5F9D">
            <w:pPr>
              <w:rPr>
                <w:rFonts w:hint="default" w:ascii="宋体" w:hAnsi="宋体" w:eastAsia="宋体" w:cs="宋体"/>
                <w:bCs/>
                <w:color w:val="auto"/>
                <w:sz w:val="22"/>
                <w:szCs w:val="22"/>
                <w:highlight w:val="none"/>
                <w:lang w:val="en-US"/>
              </w:rPr>
            </w:pPr>
            <w:r>
              <w:rPr>
                <w:rFonts w:hint="eastAsia" w:ascii="宋体" w:hAnsi="宋体" w:eastAsia="宋体" w:cs="宋体"/>
                <w:color w:val="auto"/>
                <w:kern w:val="1"/>
                <w:sz w:val="22"/>
                <w:szCs w:val="22"/>
                <w:highlight w:val="none"/>
                <w:lang w:val="en-US" w:eastAsia="zh-CN"/>
              </w:rPr>
              <w:t>供应商综合实力</w:t>
            </w:r>
          </w:p>
        </w:tc>
      </w:tr>
      <w:tr w14:paraId="217DF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74F318C6">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3044574B">
            <w:pPr>
              <w:rPr>
                <w:rFonts w:hint="default" w:ascii="宋体" w:hAnsi="宋体" w:eastAsia="宋体" w:cs="宋体"/>
                <w:bCs/>
                <w:color w:val="auto"/>
                <w:sz w:val="22"/>
                <w:szCs w:val="22"/>
                <w:highlight w:val="none"/>
                <w:lang w:val="en-US"/>
              </w:rPr>
            </w:pPr>
            <w:r>
              <w:rPr>
                <w:rFonts w:hint="eastAsia" w:ascii="宋体" w:hAnsi="宋体" w:eastAsia="宋体" w:cs="宋体"/>
                <w:color w:val="auto"/>
                <w:kern w:val="1"/>
                <w:sz w:val="22"/>
                <w:szCs w:val="22"/>
                <w:highlight w:val="none"/>
                <w:lang w:val="en-US" w:eastAsia="zh-CN"/>
              </w:rPr>
              <w:t>同类项目业绩情况</w:t>
            </w:r>
          </w:p>
        </w:tc>
      </w:tr>
      <w:tr w14:paraId="6EAE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1ED765CA">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22DD76C7">
            <w:pPr>
              <w:rPr>
                <w:rFonts w:hint="eastAsia" w:ascii="宋体" w:hAnsi="宋体" w:eastAsia="宋体" w:cs="宋体"/>
                <w:bCs/>
                <w:color w:val="auto"/>
                <w:sz w:val="22"/>
                <w:szCs w:val="22"/>
                <w:highlight w:val="none"/>
              </w:rPr>
            </w:pPr>
            <w:r>
              <w:rPr>
                <w:rFonts w:hint="eastAsia" w:ascii="新宋体" w:hAnsi="新宋体" w:eastAsia="新宋体" w:cs="新宋体"/>
                <w:color w:val="auto"/>
                <w:sz w:val="22"/>
                <w:szCs w:val="22"/>
                <w:highlight w:val="none"/>
              </w:rPr>
              <w:t>产品供货范围详细清单</w:t>
            </w:r>
            <w:r>
              <w:rPr>
                <w:rFonts w:hint="eastAsia" w:ascii="新宋体" w:hAnsi="新宋体" w:eastAsia="新宋体" w:cs="新宋体"/>
                <w:color w:val="auto"/>
                <w:sz w:val="22"/>
                <w:szCs w:val="22"/>
                <w:highlight w:val="none"/>
                <w:lang w:eastAsia="zh-CN"/>
              </w:rPr>
              <w:t>（</w:t>
            </w:r>
            <w:r>
              <w:rPr>
                <w:rFonts w:hint="eastAsia" w:ascii="宋体" w:hAnsi="宋体" w:eastAsia="宋体" w:cs="宋体"/>
                <w:color w:val="auto"/>
                <w:kern w:val="1"/>
                <w:sz w:val="22"/>
                <w:szCs w:val="22"/>
                <w:highlight w:val="none"/>
                <w:lang w:val="en-US" w:eastAsia="zh-CN"/>
              </w:rPr>
              <w:t>所投产品</w:t>
            </w:r>
            <w:r>
              <w:rPr>
                <w:rFonts w:hint="eastAsia" w:ascii="宋体" w:hAnsi="宋体" w:eastAsia="宋体" w:cs="宋体"/>
                <w:color w:val="auto"/>
                <w:kern w:val="1"/>
                <w:sz w:val="22"/>
                <w:szCs w:val="22"/>
                <w:highlight w:val="none"/>
              </w:rPr>
              <w:t>的主要技术、结构、性能、特点和质量水平</w:t>
            </w:r>
            <w:r>
              <w:rPr>
                <w:rFonts w:hint="eastAsia" w:ascii="新宋体" w:hAnsi="新宋体" w:eastAsia="新宋体" w:cs="新宋体"/>
                <w:color w:val="auto"/>
                <w:sz w:val="22"/>
                <w:szCs w:val="22"/>
                <w:highlight w:val="none"/>
                <w:lang w:eastAsia="zh-CN"/>
              </w:rPr>
              <w:t>）</w:t>
            </w:r>
          </w:p>
        </w:tc>
      </w:tr>
      <w:tr w14:paraId="43FC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EB5528">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8</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58D283ED">
            <w:pP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相关检测报告</w:t>
            </w:r>
          </w:p>
        </w:tc>
      </w:tr>
      <w:tr w14:paraId="725C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D462E7">
            <w:pPr>
              <w:jc w:val="center"/>
              <w:rPr>
                <w:rFonts w:hint="eastAsia" w:ascii="宋体" w:hAnsi="宋体" w:eastAsia="宋体" w:cs="宋体"/>
                <w:color w:val="auto"/>
                <w:kern w:val="1"/>
                <w:sz w:val="22"/>
                <w:szCs w:val="22"/>
                <w:highlight w:val="none"/>
                <w:lang w:val="en-US" w:eastAsia="zh-CN" w:bidi="ar-SA"/>
              </w:rPr>
            </w:pPr>
            <w:r>
              <w:rPr>
                <w:rFonts w:hint="eastAsia" w:ascii="宋体" w:hAnsi="宋体" w:eastAsia="宋体" w:cs="宋体"/>
                <w:color w:val="auto"/>
                <w:kern w:val="1"/>
                <w:sz w:val="22"/>
                <w:szCs w:val="22"/>
                <w:highlight w:val="none"/>
                <w:lang w:val="en-US" w:eastAsia="zh-CN"/>
              </w:rPr>
              <w:t>9</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519E2C5E">
            <w:pPr>
              <w:rPr>
                <w:rFonts w:hint="eastAsia" w:ascii="宋体" w:hAnsi="宋体" w:eastAsia="宋体" w:cs="宋体"/>
                <w:bCs/>
                <w:color w:val="auto"/>
                <w:sz w:val="22"/>
                <w:szCs w:val="22"/>
                <w:highlight w:val="none"/>
              </w:rPr>
            </w:pPr>
            <w:r>
              <w:rPr>
                <w:rFonts w:hint="eastAsia" w:ascii="宋体" w:hAnsi="宋体" w:eastAsia="宋体" w:cs="宋体"/>
                <w:color w:val="auto"/>
                <w:kern w:val="1"/>
                <w:sz w:val="22"/>
                <w:szCs w:val="22"/>
                <w:highlight w:val="none"/>
                <w:lang w:val="en-US" w:eastAsia="zh-CN"/>
              </w:rPr>
              <w:t>产品</w:t>
            </w:r>
            <w:r>
              <w:rPr>
                <w:rFonts w:hint="eastAsia" w:ascii="宋体" w:hAnsi="宋体" w:eastAsia="宋体" w:cs="宋体"/>
                <w:color w:val="auto"/>
                <w:kern w:val="1"/>
                <w:sz w:val="22"/>
                <w:szCs w:val="22"/>
                <w:highlight w:val="none"/>
              </w:rPr>
              <w:t>的</w:t>
            </w:r>
            <w:r>
              <w:rPr>
                <w:rFonts w:hint="eastAsia" w:ascii="宋体" w:hAnsi="宋体" w:cs="宋体"/>
                <w:color w:val="auto"/>
                <w:kern w:val="1"/>
                <w:sz w:val="22"/>
                <w:szCs w:val="22"/>
                <w:highlight w:val="none"/>
                <w:lang w:val="en-US" w:eastAsia="zh-CN"/>
              </w:rPr>
              <w:t>生成、</w:t>
            </w:r>
            <w:r>
              <w:rPr>
                <w:rFonts w:hint="eastAsia" w:ascii="宋体" w:hAnsi="宋体" w:eastAsia="宋体" w:cs="宋体"/>
                <w:color w:val="auto"/>
                <w:kern w:val="1"/>
                <w:sz w:val="22"/>
                <w:szCs w:val="22"/>
                <w:highlight w:val="none"/>
              </w:rPr>
              <w:t>供货、</w:t>
            </w:r>
            <w:r>
              <w:rPr>
                <w:rFonts w:hint="eastAsia" w:ascii="宋体" w:hAnsi="宋体" w:eastAsia="宋体" w:cs="宋体"/>
                <w:color w:val="auto"/>
                <w:kern w:val="1"/>
                <w:sz w:val="22"/>
                <w:szCs w:val="22"/>
                <w:highlight w:val="none"/>
                <w:lang w:val="en-US" w:eastAsia="zh-CN"/>
              </w:rPr>
              <w:t>安装</w:t>
            </w:r>
            <w:r>
              <w:rPr>
                <w:rFonts w:hint="eastAsia" w:ascii="宋体" w:hAnsi="宋体" w:eastAsia="宋体" w:cs="宋体"/>
                <w:color w:val="auto"/>
                <w:kern w:val="1"/>
                <w:sz w:val="22"/>
                <w:szCs w:val="22"/>
                <w:highlight w:val="none"/>
              </w:rPr>
              <w:t>、验收标准及方案</w:t>
            </w:r>
          </w:p>
        </w:tc>
      </w:tr>
      <w:tr w14:paraId="522F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B43769">
            <w:pPr>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10</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333AFF57">
            <w:pPr>
              <w:rPr>
                <w:rFonts w:hint="eastAsia" w:ascii="宋体" w:hAnsi="宋体" w:eastAsia="宋体" w:cs="宋体"/>
                <w:color w:val="auto"/>
                <w:kern w:val="1"/>
                <w:sz w:val="22"/>
                <w:szCs w:val="22"/>
                <w:highlight w:val="none"/>
                <w:lang w:val="en-US"/>
              </w:rPr>
            </w:pPr>
            <w:r>
              <w:rPr>
                <w:rFonts w:hint="eastAsia" w:ascii="宋体" w:hAnsi="宋体" w:eastAsia="宋体" w:cs="宋体"/>
                <w:color w:val="auto"/>
                <w:kern w:val="1"/>
                <w:sz w:val="22"/>
                <w:szCs w:val="22"/>
                <w:highlight w:val="none"/>
              </w:rPr>
              <w:t>售后服务</w:t>
            </w:r>
            <w:r>
              <w:rPr>
                <w:rFonts w:hint="eastAsia" w:ascii="宋体" w:hAnsi="宋体" w:eastAsia="宋体" w:cs="宋体"/>
                <w:color w:val="auto"/>
                <w:kern w:val="1"/>
                <w:sz w:val="22"/>
                <w:szCs w:val="22"/>
                <w:highlight w:val="none"/>
                <w:lang w:val="en-US" w:eastAsia="zh-CN"/>
              </w:rPr>
              <w:t>及优惠条件</w:t>
            </w:r>
          </w:p>
        </w:tc>
      </w:tr>
      <w:tr w14:paraId="68BC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44ACBB19">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15D9CAC6">
            <w:pPr>
              <w:jc w:val="left"/>
              <w:rPr>
                <w:rFonts w:hint="eastAsia" w:ascii="宋体" w:hAnsi="宋体" w:eastAsia="宋体" w:cs="宋体"/>
                <w:color w:val="auto"/>
                <w:sz w:val="22"/>
                <w:szCs w:val="22"/>
                <w:highlight w:val="none"/>
              </w:rPr>
            </w:pPr>
            <w:r>
              <w:rPr>
                <w:rFonts w:hint="eastAsia" w:ascii="宋体" w:hAnsi="宋体" w:eastAsia="宋体" w:cs="宋体"/>
                <w:bCs/>
                <w:color w:val="auto"/>
                <w:sz w:val="22"/>
                <w:highlight w:val="none"/>
                <w:lang w:val="en-US" w:eastAsia="zh-CN"/>
              </w:rPr>
              <w:t>供应商</w:t>
            </w:r>
            <w:r>
              <w:rPr>
                <w:rFonts w:hint="eastAsia" w:ascii="宋体" w:hAnsi="宋体" w:cs="宋体"/>
                <w:bCs/>
                <w:color w:val="auto"/>
                <w:sz w:val="22"/>
                <w:highlight w:val="none"/>
                <w:lang w:val="en-US" w:eastAsia="zh-CN"/>
              </w:rPr>
              <w:t>根据技术评分表</w:t>
            </w:r>
            <w:r>
              <w:rPr>
                <w:rFonts w:hint="eastAsia" w:ascii="宋体" w:hAnsi="宋体" w:eastAsia="宋体" w:cs="宋体"/>
                <w:bCs/>
                <w:color w:val="auto"/>
                <w:sz w:val="22"/>
                <w:highlight w:val="none"/>
              </w:rPr>
              <w:t>认为需要提供的其他技术资料</w:t>
            </w:r>
          </w:p>
        </w:tc>
      </w:tr>
    </w:tbl>
    <w:p w14:paraId="4D6B9E68">
      <w:pPr>
        <w:spacing w:line="430" w:lineRule="exact"/>
        <w:ind w:left="187" w:leftChars="85" w:hanging="9" w:hangingChars="4"/>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说明：</w:t>
      </w:r>
    </w:p>
    <w:p w14:paraId="34A8D493">
      <w:pPr>
        <w:numPr>
          <w:ilvl w:val="0"/>
          <w:numId w:val="8"/>
        </w:numPr>
        <w:tabs>
          <w:tab w:val="left" w:pos="5355"/>
        </w:tabs>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投标供应商可根据采购文件中的技术规格书以及技术资信评分表，提供投标供应商认为需要提供的文件和资料。</w:t>
      </w:r>
    </w:p>
    <w:p w14:paraId="4BEFC83E">
      <w:pPr>
        <w:numPr>
          <w:ilvl w:val="0"/>
          <w:numId w:val="8"/>
        </w:numPr>
        <w:tabs>
          <w:tab w:val="left" w:pos="5355"/>
        </w:tabs>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中应承诺：投标供应商所提供的货物或服务所有权归采购人所有。如若发生侵权事件，其侵权责任与采购人及采购代理机构无关，由投标供应商承担全部责任。侵权造成的所有相关费用，均由投标供应商支付，保证不伤害采购人的利益。</w:t>
      </w:r>
    </w:p>
    <w:p w14:paraId="48E1DF3F">
      <w:pPr>
        <w:numPr>
          <w:ilvl w:val="0"/>
          <w:numId w:val="8"/>
        </w:numPr>
        <w:tabs>
          <w:tab w:val="left" w:pos="5355"/>
        </w:tabs>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可在投标文件中对采购文件中的技术要求选用替代标准、补充或更改，但这些替代标准及补充更改必须相当于或优于采购文件中提出的相应技术要求，并使采购人满意。同时在技术偏离表中作出详细说明。</w:t>
      </w:r>
    </w:p>
    <w:p w14:paraId="1C3E3CDF">
      <w:pPr>
        <w:numPr>
          <w:ilvl w:val="0"/>
          <w:numId w:val="8"/>
        </w:numPr>
        <w:tabs>
          <w:tab w:val="left" w:pos="5355"/>
        </w:tabs>
        <w:spacing w:line="430" w:lineRule="exact"/>
        <w:rPr>
          <w:rFonts w:hint="eastAsia" w:ascii="新宋体" w:hAnsi="新宋体" w:eastAsia="新宋体" w:cs="新宋体"/>
          <w:b/>
          <w:color w:val="auto"/>
          <w:sz w:val="22"/>
          <w:szCs w:val="22"/>
          <w:highlight w:val="none"/>
          <w:u w:val="single"/>
        </w:rPr>
      </w:pPr>
      <w:r>
        <w:rPr>
          <w:rFonts w:hint="eastAsia" w:ascii="新宋体" w:hAnsi="新宋体" w:eastAsia="新宋体" w:cs="新宋体"/>
          <w:color w:val="auto"/>
          <w:sz w:val="22"/>
          <w:szCs w:val="22"/>
          <w:highlight w:val="none"/>
          <w:u w:val="single"/>
        </w:rPr>
        <w:t>以上所需的各种证书、证件、证明、执照若系复印件，须在复印件上加盖投标供应商有效的公章。</w:t>
      </w:r>
    </w:p>
    <w:p w14:paraId="1AB1E758">
      <w:pPr>
        <w:spacing w:line="430" w:lineRule="exact"/>
        <w:rPr>
          <w:rFonts w:hint="eastAsia" w:ascii="新宋体" w:hAnsi="新宋体" w:eastAsia="新宋体" w:cs="新宋体"/>
          <w:b/>
          <w:color w:val="auto"/>
          <w:sz w:val="22"/>
          <w:szCs w:val="22"/>
          <w:highlight w:val="none"/>
        </w:rPr>
      </w:pPr>
      <w:bookmarkStart w:id="54" w:name="_Toc221356886"/>
      <w:r>
        <w:rPr>
          <w:rFonts w:hint="eastAsia" w:ascii="新宋体" w:hAnsi="新宋体" w:eastAsia="新宋体" w:cs="新宋体"/>
          <w:b/>
          <w:color w:val="auto"/>
          <w:sz w:val="22"/>
          <w:szCs w:val="22"/>
          <w:highlight w:val="none"/>
        </w:rPr>
        <w:t>（3） 商务报价标</w:t>
      </w:r>
      <w:bookmarkEnd w:id="54"/>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7370"/>
        <w:gridCol w:w="1577"/>
      </w:tblGrid>
      <w:tr w14:paraId="30A9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3604D484">
            <w:pPr>
              <w:spacing w:line="43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3739" w:type="pct"/>
            <w:vAlign w:val="center"/>
          </w:tcPr>
          <w:p w14:paraId="7259929C">
            <w:pPr>
              <w:spacing w:line="43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800" w:type="pct"/>
            <w:vAlign w:val="center"/>
          </w:tcPr>
          <w:p w14:paraId="715A4F86">
            <w:pPr>
              <w:spacing w:line="43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tc>
      </w:tr>
      <w:tr w14:paraId="0F93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797A9C78">
            <w:pPr>
              <w:spacing w:line="43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3739" w:type="pct"/>
            <w:vAlign w:val="center"/>
          </w:tcPr>
          <w:p w14:paraId="6FD1AB9D">
            <w:pPr>
              <w:spacing w:line="430" w:lineRule="exact"/>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开标一览表</w:t>
            </w:r>
          </w:p>
        </w:tc>
        <w:tc>
          <w:tcPr>
            <w:tcW w:w="800" w:type="pct"/>
            <w:vAlign w:val="center"/>
          </w:tcPr>
          <w:p w14:paraId="59B1A856">
            <w:pPr>
              <w:spacing w:line="430" w:lineRule="exact"/>
              <w:rPr>
                <w:rFonts w:hint="eastAsia" w:ascii="新宋体" w:hAnsi="新宋体" w:eastAsia="新宋体" w:cs="新宋体"/>
                <w:b/>
                <w:color w:val="auto"/>
                <w:sz w:val="22"/>
                <w:szCs w:val="22"/>
                <w:highlight w:val="none"/>
              </w:rPr>
            </w:pPr>
          </w:p>
        </w:tc>
      </w:tr>
      <w:tr w14:paraId="492D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0" w:type="pct"/>
            <w:vAlign w:val="center"/>
          </w:tcPr>
          <w:p w14:paraId="32449094">
            <w:pPr>
              <w:spacing w:line="43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3739" w:type="pct"/>
            <w:vAlign w:val="center"/>
          </w:tcPr>
          <w:p w14:paraId="0B6B525D">
            <w:pPr>
              <w:spacing w:line="430" w:lineRule="exact"/>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投标分项报价表</w:t>
            </w:r>
          </w:p>
        </w:tc>
        <w:tc>
          <w:tcPr>
            <w:tcW w:w="800" w:type="pct"/>
            <w:vAlign w:val="center"/>
          </w:tcPr>
          <w:p w14:paraId="2F437009">
            <w:pPr>
              <w:spacing w:line="430" w:lineRule="exact"/>
              <w:rPr>
                <w:rFonts w:hint="eastAsia" w:ascii="新宋体" w:hAnsi="新宋体" w:eastAsia="新宋体" w:cs="新宋体"/>
                <w:b/>
                <w:color w:val="auto"/>
                <w:sz w:val="22"/>
                <w:szCs w:val="22"/>
                <w:highlight w:val="none"/>
              </w:rPr>
            </w:pPr>
          </w:p>
        </w:tc>
      </w:tr>
    </w:tbl>
    <w:p w14:paraId="7D9A1B6E">
      <w:pPr>
        <w:numPr>
          <w:ilvl w:val="255"/>
          <w:numId w:val="0"/>
        </w:num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10.2 投标文件格式</w:t>
      </w:r>
    </w:p>
    <w:p w14:paraId="1C1B4D6A">
      <w:pPr>
        <w:numPr>
          <w:ilvl w:val="0"/>
          <w:numId w:val="9"/>
        </w:numPr>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投标供应商应根据</w:t>
      </w:r>
      <w:r>
        <w:rPr>
          <w:rFonts w:hint="eastAsia" w:ascii="新宋体" w:hAnsi="新宋体" w:eastAsia="新宋体" w:cs="新宋体"/>
          <w:color w:val="auto"/>
          <w:sz w:val="22"/>
          <w:szCs w:val="22"/>
          <w:highlight w:val="none"/>
        </w:rPr>
        <w:t>采购</w:t>
      </w:r>
      <w:r>
        <w:rPr>
          <w:rFonts w:hint="eastAsia" w:ascii="新宋体" w:hAnsi="新宋体" w:eastAsia="新宋体" w:cs="新宋体"/>
          <w:bCs/>
          <w:color w:val="auto"/>
          <w:sz w:val="22"/>
          <w:szCs w:val="22"/>
          <w:highlight w:val="none"/>
        </w:rPr>
        <w:t>文件中所提供的格式，内容按顺序填写并装订成册,不允许以活页夹形式装订投标文件；</w:t>
      </w:r>
    </w:p>
    <w:p w14:paraId="5E759820">
      <w:pPr>
        <w:numPr>
          <w:ilvl w:val="0"/>
          <w:numId w:val="9"/>
        </w:numPr>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lang w:val="zh-CN"/>
        </w:rPr>
        <w:t>资格审查资料、技术资信标、商务报价标分别包装于各自标函袋中，标函袋不做统一要求。</w:t>
      </w:r>
    </w:p>
    <w:p w14:paraId="4C7E84B3">
      <w:pPr>
        <w:numPr>
          <w:ilvl w:val="0"/>
          <w:numId w:val="9"/>
        </w:numPr>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投标文件应有目录以及页码，以便评委检索。</w:t>
      </w:r>
    </w:p>
    <w:p w14:paraId="18BB8BA8">
      <w:pPr>
        <w:numPr>
          <w:ilvl w:val="0"/>
          <w:numId w:val="9"/>
        </w:numPr>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
          <w:bCs w:val="0"/>
          <w:color w:val="auto"/>
          <w:sz w:val="22"/>
          <w:szCs w:val="22"/>
          <w:highlight w:val="none"/>
        </w:rPr>
        <w:t>电子投标文件</w:t>
      </w:r>
      <w:r>
        <w:rPr>
          <w:rFonts w:hint="eastAsia" w:ascii="新宋体" w:hAnsi="新宋体" w:eastAsia="新宋体" w:cs="新宋体"/>
          <w:b/>
          <w:bCs w:val="0"/>
          <w:color w:val="auto"/>
          <w:sz w:val="22"/>
          <w:szCs w:val="22"/>
          <w:highlight w:val="none"/>
          <w:lang w:val="en-US" w:eastAsia="zh-CN"/>
        </w:rPr>
        <w:t>1份</w:t>
      </w:r>
      <w:r>
        <w:rPr>
          <w:rFonts w:hint="eastAsia" w:ascii="新宋体" w:hAnsi="新宋体" w:eastAsia="新宋体" w:cs="新宋体"/>
          <w:b/>
          <w:bCs w:val="0"/>
          <w:color w:val="auto"/>
          <w:sz w:val="22"/>
          <w:szCs w:val="22"/>
          <w:highlight w:val="none"/>
        </w:rPr>
        <w:t>为纸质投标文件正本签字盖章后的PDF格式扫描文件</w:t>
      </w:r>
      <w:r>
        <w:rPr>
          <w:rFonts w:hint="eastAsia" w:ascii="新宋体" w:hAnsi="新宋体" w:eastAsia="新宋体" w:cs="新宋体"/>
          <w:b/>
          <w:bCs w:val="0"/>
          <w:color w:val="auto"/>
          <w:sz w:val="22"/>
          <w:szCs w:val="22"/>
          <w:highlight w:val="none"/>
          <w:lang w:eastAsia="zh-CN"/>
        </w:rPr>
        <w:t>，</w:t>
      </w:r>
      <w:r>
        <w:rPr>
          <w:rFonts w:hint="eastAsia" w:ascii="新宋体" w:hAnsi="新宋体" w:eastAsia="新宋体" w:cs="新宋体"/>
          <w:b/>
          <w:bCs w:val="0"/>
          <w:color w:val="auto"/>
          <w:sz w:val="22"/>
          <w:szCs w:val="22"/>
          <w:highlight w:val="none"/>
          <w:lang w:val="en-US" w:eastAsia="zh-CN"/>
        </w:rPr>
        <w:t>储存在</w:t>
      </w:r>
      <w:r>
        <w:rPr>
          <w:rFonts w:hint="eastAsia" w:ascii="新宋体" w:hAnsi="新宋体" w:eastAsia="新宋体" w:cs="新宋体"/>
          <w:b/>
          <w:bCs w:val="0"/>
          <w:color w:val="auto"/>
          <w:sz w:val="22"/>
          <w:szCs w:val="22"/>
          <w:highlight w:val="none"/>
        </w:rPr>
        <w:t>U盘</w:t>
      </w:r>
      <w:r>
        <w:rPr>
          <w:rFonts w:hint="eastAsia" w:ascii="新宋体" w:hAnsi="新宋体" w:eastAsia="新宋体" w:cs="新宋体"/>
          <w:b/>
          <w:bCs w:val="0"/>
          <w:color w:val="auto"/>
          <w:sz w:val="22"/>
          <w:szCs w:val="22"/>
          <w:highlight w:val="none"/>
          <w:lang w:val="en-US" w:eastAsia="zh-CN"/>
        </w:rPr>
        <w:t>内与纸质投标文件一同提交</w:t>
      </w:r>
      <w:r>
        <w:rPr>
          <w:rFonts w:hint="eastAsia" w:ascii="新宋体" w:hAnsi="新宋体" w:eastAsia="新宋体" w:cs="新宋体"/>
          <w:b/>
          <w:bCs w:val="0"/>
          <w:color w:val="auto"/>
          <w:sz w:val="22"/>
          <w:szCs w:val="22"/>
          <w:highlight w:val="none"/>
        </w:rPr>
        <w:t>，用于后续电子归档，不作为评审依据。</w:t>
      </w:r>
    </w:p>
    <w:p w14:paraId="72445364">
      <w:pPr>
        <w:tabs>
          <w:tab w:val="left" w:pos="36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证书、证件、证明等原件，属备查项目，并非强制性要求。投标供应商若提交原件资料，应将原件单独包封，与投标文件一同向采购代理机构递交。</w:t>
      </w:r>
      <w:r>
        <w:rPr>
          <w:rFonts w:hint="eastAsia" w:ascii="新宋体" w:hAnsi="新宋体" w:eastAsia="新宋体" w:cs="新宋体"/>
          <w:color w:val="auto"/>
          <w:sz w:val="22"/>
          <w:szCs w:val="22"/>
          <w:highlight w:val="none"/>
        </w:rPr>
        <w:t>评标主要依据投标供应商投标文件中加盖有效公章的证书/证明文件复印件，如评标委员会对复印件有异议的，可在投标供应商提供原件资料里核查，若投标供应商未提供原件资料佐证的，则承担相应评分项不得分的风险。</w:t>
      </w:r>
    </w:p>
    <w:p w14:paraId="42401F42">
      <w:pPr>
        <w:numPr>
          <w:ilvl w:val="0"/>
          <w:numId w:val="4"/>
        </w:numPr>
        <w:tabs>
          <w:tab w:val="left" w:pos="54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投标报价</w:t>
      </w:r>
    </w:p>
    <w:p w14:paraId="1DAE7517">
      <w:pPr>
        <w:tabs>
          <w:tab w:val="left" w:pos="525"/>
        </w:tabs>
        <w:spacing w:line="400" w:lineRule="exact"/>
        <w:rPr>
          <w:rFonts w:hint="default" w:ascii="新宋体" w:hAnsi="新宋体" w:eastAsia="新宋体" w:cs="新宋体"/>
          <w:b/>
          <w:bCs/>
          <w:color w:val="auto"/>
          <w:kern w:val="0"/>
          <w:sz w:val="22"/>
          <w:szCs w:val="22"/>
          <w:highlight w:val="none"/>
          <w:u w:val="single"/>
          <w:lang w:val="en-US" w:eastAsia="zh-CN"/>
        </w:rPr>
      </w:pPr>
      <w:r>
        <w:rPr>
          <w:rFonts w:hint="eastAsia" w:ascii="新宋体" w:hAnsi="新宋体" w:eastAsia="新宋体" w:cs="新宋体"/>
          <w:b/>
          <w:bCs/>
          <w:color w:val="auto"/>
          <w:sz w:val="22"/>
          <w:szCs w:val="22"/>
          <w:highlight w:val="none"/>
          <w:u w:val="single"/>
        </w:rPr>
        <w:t>11.1</w:t>
      </w:r>
      <w:r>
        <w:rPr>
          <w:rFonts w:hint="eastAsia" w:ascii="宋体" w:cs="宋体"/>
          <w:b/>
          <w:bCs/>
          <w:color w:val="auto"/>
          <w:sz w:val="22"/>
          <w:szCs w:val="22"/>
          <w:highlight w:val="none"/>
          <w:u w:val="single"/>
        </w:rPr>
        <w:t>▲</w:t>
      </w:r>
      <w:r>
        <w:rPr>
          <w:rFonts w:hint="eastAsia" w:ascii="新宋体" w:hAnsi="新宋体" w:eastAsia="新宋体" w:cs="新宋体"/>
          <w:b/>
          <w:bCs/>
          <w:color w:val="auto"/>
          <w:kern w:val="0"/>
          <w:sz w:val="22"/>
          <w:szCs w:val="22"/>
          <w:highlight w:val="none"/>
          <w:u w:val="single"/>
          <w:lang w:val="zh-CN"/>
        </w:rPr>
        <w:t>本项目投标报价为</w:t>
      </w:r>
      <w:r>
        <w:rPr>
          <w:rFonts w:hint="eastAsia" w:ascii="宋体" w:hAnsi="宋体" w:eastAsia="宋体" w:cs="宋体"/>
          <w:b/>
          <w:color w:val="auto"/>
          <w:sz w:val="22"/>
          <w:szCs w:val="22"/>
          <w:highlight w:val="none"/>
          <w:u w:val="single"/>
          <w:lang w:eastAsia="zh-CN"/>
        </w:rPr>
        <w:t>供应商</w:t>
      </w:r>
      <w:r>
        <w:rPr>
          <w:rFonts w:hint="eastAsia" w:ascii="宋体" w:hAnsi="宋体" w:eastAsia="宋体" w:cs="宋体"/>
          <w:b/>
          <w:color w:val="auto"/>
          <w:sz w:val="22"/>
          <w:szCs w:val="22"/>
          <w:highlight w:val="none"/>
          <w:u w:val="single"/>
        </w:rPr>
        <w:t>在正确地完全履行合同义务后</w:t>
      </w:r>
      <w:r>
        <w:rPr>
          <w:rFonts w:hint="eastAsia" w:ascii="宋体" w:hAnsi="宋体" w:eastAsia="宋体" w:cs="宋体"/>
          <w:b/>
          <w:color w:val="auto"/>
          <w:sz w:val="22"/>
          <w:szCs w:val="22"/>
          <w:highlight w:val="none"/>
          <w:u w:val="single"/>
          <w:lang w:eastAsia="zh-CN"/>
        </w:rPr>
        <w:t>采购人</w:t>
      </w:r>
      <w:r>
        <w:rPr>
          <w:rFonts w:hint="eastAsia" w:ascii="宋体" w:hAnsi="宋体" w:eastAsia="宋体" w:cs="宋体"/>
          <w:b/>
          <w:color w:val="auto"/>
          <w:sz w:val="22"/>
          <w:szCs w:val="22"/>
          <w:highlight w:val="none"/>
          <w:u w:val="single"/>
        </w:rPr>
        <w:t>应支付给</w:t>
      </w:r>
      <w:r>
        <w:rPr>
          <w:rFonts w:hint="eastAsia" w:ascii="宋体" w:hAnsi="宋体" w:eastAsia="宋体" w:cs="宋体"/>
          <w:b/>
          <w:color w:val="auto"/>
          <w:sz w:val="22"/>
          <w:szCs w:val="22"/>
          <w:highlight w:val="none"/>
          <w:u w:val="single"/>
          <w:lang w:eastAsia="zh-CN"/>
        </w:rPr>
        <w:t>供应商</w:t>
      </w:r>
      <w:r>
        <w:rPr>
          <w:rFonts w:hint="eastAsia" w:ascii="宋体" w:hAnsi="宋体" w:eastAsia="宋体" w:cs="宋体"/>
          <w:b/>
          <w:color w:val="auto"/>
          <w:sz w:val="22"/>
          <w:szCs w:val="22"/>
          <w:highlight w:val="none"/>
          <w:u w:val="single"/>
        </w:rPr>
        <w:t>的合同价款，即</w:t>
      </w:r>
      <w:r>
        <w:rPr>
          <w:rFonts w:hint="eastAsia" w:ascii="宋体" w:hAnsi="宋体" w:eastAsia="宋体" w:cs="宋体"/>
          <w:b/>
          <w:bCs/>
          <w:color w:val="auto"/>
          <w:highlight w:val="none"/>
          <w:u w:val="single"/>
          <w:lang w:val="en-US" w:eastAsia="zh-CN"/>
        </w:rPr>
        <w:t>投标产品</w:t>
      </w:r>
      <w:r>
        <w:rPr>
          <w:rFonts w:hint="eastAsia" w:ascii="宋体" w:hAnsi="宋体" w:eastAsia="宋体" w:cs="宋体"/>
          <w:b/>
          <w:color w:val="auto"/>
          <w:sz w:val="22"/>
          <w:szCs w:val="22"/>
          <w:highlight w:val="none"/>
          <w:u w:val="single"/>
        </w:rPr>
        <w:t>的供货、税金、包装、运输、装卸、验收、技术服务、售后服务</w:t>
      </w:r>
      <w:r>
        <w:rPr>
          <w:rFonts w:hint="eastAsia" w:ascii="宋体" w:hAnsi="宋体" w:eastAsia="宋体" w:cs="宋体"/>
          <w:b/>
          <w:color w:val="auto"/>
          <w:sz w:val="22"/>
          <w:szCs w:val="22"/>
          <w:highlight w:val="none"/>
          <w:u w:val="single"/>
          <w:lang w:val="en-US" w:eastAsia="zh-CN"/>
        </w:rPr>
        <w:t>及</w:t>
      </w:r>
      <w:r>
        <w:rPr>
          <w:rFonts w:hint="eastAsia" w:ascii="宋体" w:hAnsi="宋体" w:cs="宋体"/>
          <w:b/>
          <w:color w:val="auto"/>
          <w:sz w:val="22"/>
          <w:szCs w:val="22"/>
          <w:highlight w:val="none"/>
          <w:u w:val="single"/>
          <w:lang w:val="en-US" w:eastAsia="zh-CN"/>
        </w:rPr>
        <w:t>采购</w:t>
      </w:r>
      <w:r>
        <w:rPr>
          <w:rFonts w:hint="eastAsia" w:ascii="宋体" w:hAnsi="宋体" w:eastAsia="宋体" w:cs="宋体"/>
          <w:b/>
          <w:color w:val="auto"/>
          <w:sz w:val="22"/>
          <w:szCs w:val="22"/>
          <w:highlight w:val="none"/>
          <w:u w:val="single"/>
          <w:lang w:val="en-US" w:eastAsia="zh-CN"/>
        </w:rPr>
        <w:t>代理服务费</w:t>
      </w:r>
      <w:r>
        <w:rPr>
          <w:rFonts w:hint="eastAsia" w:ascii="宋体" w:hAnsi="宋体" w:eastAsia="宋体" w:cs="宋体"/>
          <w:b/>
          <w:color w:val="auto"/>
          <w:sz w:val="22"/>
          <w:szCs w:val="22"/>
          <w:highlight w:val="none"/>
          <w:u w:val="single"/>
        </w:rPr>
        <w:t>等全部费用，实行固定费用总包干，报价人应根据上述因素自行考虑含入投标总价，否则由此而引起的一切费用均视为已包括在投标报价中</w:t>
      </w:r>
      <w:r>
        <w:rPr>
          <w:rFonts w:hint="eastAsia" w:ascii="新宋体" w:hAnsi="新宋体" w:eastAsia="新宋体" w:cs="新宋体"/>
          <w:b/>
          <w:bCs/>
          <w:color w:val="auto"/>
          <w:kern w:val="0"/>
          <w:sz w:val="22"/>
          <w:szCs w:val="22"/>
          <w:highlight w:val="none"/>
          <w:u w:val="single"/>
          <w:lang w:val="zh-CN"/>
        </w:rPr>
        <w:t>。</w:t>
      </w:r>
    </w:p>
    <w:p w14:paraId="56B1659A">
      <w:pPr>
        <w:keepNext w:val="0"/>
        <w:keepLines w:val="0"/>
        <w:pageBreakBefore w:val="0"/>
        <w:widowControl w:val="0"/>
        <w:tabs>
          <w:tab w:val="left" w:pos="-180"/>
          <w:tab w:val="left" w:pos="180"/>
          <w:tab w:val="left" w:pos="360"/>
        </w:tabs>
        <w:kinsoku/>
        <w:wordWrap/>
        <w:overflowPunct/>
        <w:topLinePunct w:val="0"/>
        <w:autoSpaceDE/>
        <w:autoSpaceDN/>
        <w:bidi w:val="0"/>
        <w:adjustRightInd/>
        <w:snapToGrid/>
        <w:spacing w:line="440" w:lineRule="exact"/>
        <w:ind w:firstLine="442" w:firstLineChars="200"/>
        <w:textAlignment w:val="auto"/>
        <w:rPr>
          <w:rFonts w:hint="eastAsia" w:ascii="新宋体" w:hAnsi="新宋体" w:eastAsia="新宋体" w:cs="新宋体"/>
          <w:b/>
          <w:bCs/>
          <w:color w:val="auto"/>
          <w:kern w:val="0"/>
          <w:sz w:val="22"/>
          <w:szCs w:val="22"/>
          <w:highlight w:val="none"/>
          <w:u w:val="single"/>
          <w:lang w:val="zh-CN"/>
        </w:rPr>
      </w:pPr>
      <w:r>
        <w:rPr>
          <w:rFonts w:hint="eastAsia" w:ascii="新宋体" w:hAnsi="新宋体" w:eastAsia="新宋体" w:cs="新宋体"/>
          <w:b/>
          <w:bCs/>
          <w:color w:val="auto"/>
          <w:kern w:val="0"/>
          <w:sz w:val="22"/>
          <w:szCs w:val="22"/>
          <w:highlight w:val="none"/>
          <w:u w:val="single"/>
          <w:lang w:val="zh-CN"/>
        </w:rPr>
        <w:t>投标供应商认为完成本采购文件规定的项目承包内容所发生的直接成本、间接成本、利润、税金、政策性文件规定的费用等一切费用均应计入投标报价，凡未列入的将被认为均已包含在投标报价中，今后不得以任何理由追加或调整。</w:t>
      </w:r>
    </w:p>
    <w:p w14:paraId="513C06A1">
      <w:pPr>
        <w:tabs>
          <w:tab w:val="left" w:pos="525"/>
        </w:tabs>
        <w:spacing w:line="400" w:lineRule="exact"/>
        <w:rPr>
          <w:rFonts w:hint="eastAsia" w:ascii="新宋体" w:hAnsi="新宋体" w:eastAsia="新宋体" w:cs="新宋体"/>
          <w:bCs/>
          <w:color w:val="auto"/>
          <w:kern w:val="0"/>
          <w:sz w:val="22"/>
          <w:szCs w:val="22"/>
          <w:highlight w:val="none"/>
          <w:lang w:val="zh-CN"/>
        </w:rPr>
      </w:pPr>
      <w:r>
        <w:rPr>
          <w:rFonts w:hint="eastAsia" w:ascii="新宋体" w:hAnsi="新宋体" w:eastAsia="新宋体" w:cs="新宋体"/>
          <w:bCs/>
          <w:color w:val="auto"/>
          <w:kern w:val="0"/>
          <w:sz w:val="22"/>
          <w:szCs w:val="22"/>
          <w:highlight w:val="none"/>
        </w:rPr>
        <w:t xml:space="preserve">11.2 </w:t>
      </w:r>
      <w:r>
        <w:rPr>
          <w:rFonts w:hint="eastAsia" w:ascii="新宋体" w:hAnsi="新宋体" w:eastAsia="新宋体" w:cs="新宋体"/>
          <w:bCs/>
          <w:color w:val="auto"/>
          <w:kern w:val="0"/>
          <w:sz w:val="22"/>
          <w:szCs w:val="22"/>
          <w:highlight w:val="none"/>
          <w:lang w:val="zh-CN"/>
        </w:rPr>
        <w:t>投标供应商须认真阅读、充分理解采购文件，如有疑问可在询疑截止时间前送达（或传真）采购代理机构，采购代理机构将会统一解答。任何因对本项目采购文件理解不清、产生歧义等由此产生的费用，视作已含在投标总价中。</w:t>
      </w:r>
    </w:p>
    <w:p w14:paraId="06D7257C">
      <w:pPr>
        <w:tabs>
          <w:tab w:val="left" w:pos="525"/>
        </w:tabs>
        <w:spacing w:line="40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 xml:space="preserve">11.3 </w:t>
      </w:r>
      <w:r>
        <w:rPr>
          <w:rFonts w:hint="eastAsia" w:ascii="新宋体" w:hAnsi="新宋体" w:eastAsia="新宋体" w:cs="新宋体"/>
          <w:bCs/>
          <w:color w:val="auto"/>
          <w:kern w:val="0"/>
          <w:sz w:val="22"/>
          <w:szCs w:val="22"/>
          <w:highlight w:val="none"/>
          <w:lang w:val="zh-CN"/>
        </w:rPr>
        <w:t>投标供应商必须按第三部分附件的开标一览表（统一格式）、投标分项报价表（统一格式）的内容填写单价、合价及其他事项，并由法定代表人或授权代表签署。</w:t>
      </w:r>
    </w:p>
    <w:p w14:paraId="06C5B51B">
      <w:pPr>
        <w:tabs>
          <w:tab w:val="left" w:pos="525"/>
        </w:tabs>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11.4 报价货币基础为人民币。</w:t>
      </w:r>
    </w:p>
    <w:p w14:paraId="69C182FB">
      <w:pPr>
        <w:tabs>
          <w:tab w:val="left" w:pos="525"/>
        </w:tabs>
        <w:spacing w:line="40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11.5 采购人不接受任何选择报价，只允许一个报价。</w:t>
      </w:r>
    </w:p>
    <w:p w14:paraId="3FCABD89">
      <w:pPr>
        <w:tabs>
          <w:tab w:val="left" w:pos="525"/>
        </w:tabs>
        <w:spacing w:line="400" w:lineRule="exact"/>
        <w:rPr>
          <w:rFonts w:hint="eastAsia" w:ascii="新宋体" w:hAnsi="新宋体" w:eastAsia="新宋体" w:cs="新宋体"/>
          <w:bCs/>
          <w:color w:val="auto"/>
          <w:kern w:val="0"/>
          <w:sz w:val="22"/>
          <w:szCs w:val="22"/>
          <w:highlight w:val="none"/>
          <w:lang w:val="zh-CN"/>
        </w:rPr>
      </w:pPr>
      <w:r>
        <w:rPr>
          <w:rFonts w:hint="eastAsia" w:ascii="新宋体" w:hAnsi="新宋体" w:eastAsia="新宋体" w:cs="新宋体"/>
          <w:bCs/>
          <w:color w:val="auto"/>
          <w:kern w:val="0"/>
          <w:sz w:val="22"/>
          <w:szCs w:val="22"/>
          <w:highlight w:val="none"/>
        </w:rPr>
        <w:t xml:space="preserve">11.6 </w:t>
      </w:r>
      <w:r>
        <w:rPr>
          <w:rFonts w:hint="eastAsia" w:ascii="新宋体" w:hAnsi="新宋体" w:eastAsia="新宋体" w:cs="新宋体"/>
          <w:bCs/>
          <w:color w:val="auto"/>
          <w:kern w:val="0"/>
          <w:sz w:val="22"/>
          <w:szCs w:val="22"/>
          <w:highlight w:val="none"/>
          <w:lang w:val="zh-CN"/>
        </w:rPr>
        <w:t>投标供应商所报的投标价在合同执行过程中是固定不变的，不得以任何理由予以变更。任何包含价格调整的要求，将被认为是非实质性响应投标而予以拒绝。</w:t>
      </w:r>
    </w:p>
    <w:p w14:paraId="5FD60F41">
      <w:pPr>
        <w:tabs>
          <w:tab w:val="left" w:pos="525"/>
        </w:tabs>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kern w:val="0"/>
          <w:sz w:val="22"/>
          <w:szCs w:val="22"/>
          <w:highlight w:val="none"/>
        </w:rPr>
        <w:t>11.7</w:t>
      </w:r>
      <w:r>
        <w:rPr>
          <w:rFonts w:hint="eastAsia" w:ascii="新宋体" w:hAnsi="新宋体" w:eastAsia="新宋体" w:cs="新宋体"/>
          <w:bCs/>
          <w:color w:val="auto"/>
          <w:kern w:val="0"/>
          <w:sz w:val="22"/>
          <w:szCs w:val="22"/>
          <w:highlight w:val="none"/>
          <w:u w:val="single"/>
        </w:rPr>
        <w:t>报价是中标的一个重要因素，但最低报价不是中标的唯一依据</w:t>
      </w:r>
      <w:r>
        <w:rPr>
          <w:rFonts w:hint="eastAsia" w:ascii="新宋体" w:hAnsi="新宋体" w:eastAsia="新宋体" w:cs="新宋体"/>
          <w:bCs/>
          <w:color w:val="auto"/>
          <w:kern w:val="0"/>
          <w:sz w:val="22"/>
          <w:szCs w:val="22"/>
          <w:highlight w:val="none"/>
        </w:rPr>
        <w:t>。</w:t>
      </w:r>
    </w:p>
    <w:p w14:paraId="32140C54">
      <w:pPr>
        <w:numPr>
          <w:ilvl w:val="0"/>
          <w:numId w:val="4"/>
        </w:numPr>
        <w:tabs>
          <w:tab w:val="left" w:pos="54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投标保证金</w:t>
      </w:r>
    </w:p>
    <w:p w14:paraId="4629B294">
      <w:pPr>
        <w:tabs>
          <w:tab w:val="left" w:pos="54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12.1 投标供应商须提供由投标单位账号汇出的投标保证金（金额详见《投标供应商须知前附表》），否则采购人将不接受其投标。</w:t>
      </w:r>
    </w:p>
    <w:p w14:paraId="48B4BD38">
      <w:pPr>
        <w:tabs>
          <w:tab w:val="left" w:pos="54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12.2 中标供应商的投标保证金在中标供应商与采购人签订了合同</w:t>
      </w:r>
      <w:r>
        <w:rPr>
          <w:rFonts w:hint="eastAsia" w:ascii="新宋体" w:hAnsi="新宋体" w:eastAsia="新宋体" w:cs="新宋体"/>
          <w:color w:val="auto"/>
          <w:sz w:val="22"/>
          <w:szCs w:val="22"/>
          <w:highlight w:val="none"/>
        </w:rPr>
        <w:t>并合同经备案后5个工作日内无息退还，未中标供应商的投标保证金将在确定中标供应商后7个工作日内无息退还。</w:t>
      </w:r>
    </w:p>
    <w:p w14:paraId="58CBE4EF">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12.3 如发生下列情况之一，投标保证金将不予退还：</w:t>
      </w:r>
    </w:p>
    <w:p w14:paraId="211A8BA1">
      <w:pPr>
        <w:numPr>
          <w:ilvl w:val="0"/>
          <w:numId w:val="10"/>
        </w:numPr>
        <w:tabs>
          <w:tab w:val="left" w:pos="360"/>
          <w:tab w:val="clear" w:pos="420"/>
        </w:tabs>
        <w:spacing w:line="43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投标供应商在采购文件规定的投标有效期内撤回投标；</w:t>
      </w:r>
    </w:p>
    <w:p w14:paraId="126B5B0F">
      <w:pPr>
        <w:numPr>
          <w:ilvl w:val="0"/>
          <w:numId w:val="10"/>
        </w:numPr>
        <w:tabs>
          <w:tab w:val="left" w:pos="360"/>
          <w:tab w:val="clear" w:pos="420"/>
        </w:tabs>
        <w:spacing w:line="43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中标供应商未按中标通知书中规定的时间与采购人签订合同；</w:t>
      </w:r>
    </w:p>
    <w:p w14:paraId="3B911170">
      <w:pPr>
        <w:numPr>
          <w:ilvl w:val="0"/>
          <w:numId w:val="10"/>
        </w:numPr>
        <w:tabs>
          <w:tab w:val="left" w:pos="360"/>
          <w:tab w:val="clear" w:pos="420"/>
        </w:tabs>
        <w:spacing w:line="43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中标供应商在规定期限内未能根据采购文件要求提供履约保证金；</w:t>
      </w:r>
    </w:p>
    <w:p w14:paraId="4756B800">
      <w:pPr>
        <w:numPr>
          <w:ilvl w:val="0"/>
          <w:numId w:val="10"/>
        </w:numPr>
        <w:tabs>
          <w:tab w:val="left" w:pos="360"/>
          <w:tab w:val="clear" w:pos="420"/>
        </w:tabs>
        <w:spacing w:line="43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投标供应商在采购文件中提供虚假技术指标及参数，经评标委员会确认属实的。</w:t>
      </w:r>
    </w:p>
    <w:p w14:paraId="64DDA852">
      <w:pPr>
        <w:numPr>
          <w:ilvl w:val="0"/>
          <w:numId w:val="10"/>
        </w:numPr>
        <w:tabs>
          <w:tab w:val="left" w:pos="360"/>
          <w:tab w:val="clear" w:pos="420"/>
        </w:tabs>
        <w:spacing w:line="43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经认定投标供应商有违反有关法律法规的行为。</w:t>
      </w:r>
    </w:p>
    <w:p w14:paraId="268F4734">
      <w:pPr>
        <w:numPr>
          <w:ilvl w:val="0"/>
          <w:numId w:val="4"/>
        </w:numPr>
        <w:tabs>
          <w:tab w:val="left" w:pos="540"/>
        </w:tabs>
        <w:spacing w:line="460" w:lineRule="exact"/>
        <w:ind w:left="540" w:hanging="540"/>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投标有效期</w:t>
      </w:r>
    </w:p>
    <w:p w14:paraId="61AB6191">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13.1 自开标之日起</w:t>
      </w:r>
      <w:r>
        <w:rPr>
          <w:rFonts w:hint="eastAsia" w:ascii="新宋体" w:hAnsi="新宋体" w:eastAsia="新宋体" w:cs="新宋体"/>
          <w:b/>
          <w:color w:val="auto"/>
          <w:sz w:val="22"/>
          <w:szCs w:val="22"/>
          <w:highlight w:val="none"/>
          <w:u w:val="single"/>
        </w:rPr>
        <w:t xml:space="preserve"> 90</w:t>
      </w:r>
      <w:r>
        <w:rPr>
          <w:rFonts w:hint="eastAsia" w:ascii="新宋体" w:hAnsi="新宋体" w:eastAsia="新宋体" w:cs="新宋体"/>
          <w:b/>
          <w:color w:val="auto"/>
          <w:sz w:val="22"/>
          <w:szCs w:val="22"/>
          <w:highlight w:val="none"/>
        </w:rPr>
        <w:t>天内投标应保持有效。投标有效期短于这个规定期限的投标将视为非响应性投标而予以拒绝。</w:t>
      </w:r>
    </w:p>
    <w:p w14:paraId="06CAE30D">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13.2 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14:paraId="3075285D">
      <w:pPr>
        <w:numPr>
          <w:ilvl w:val="0"/>
          <w:numId w:val="4"/>
        </w:numPr>
        <w:tabs>
          <w:tab w:val="left" w:pos="540"/>
        </w:tabs>
        <w:spacing w:line="460" w:lineRule="exact"/>
        <w:ind w:left="540" w:hanging="54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投标文件的签署和规定</w:t>
      </w:r>
    </w:p>
    <w:p w14:paraId="199A4BEF">
      <w:pPr>
        <w:numPr>
          <w:ilvl w:val="1"/>
          <w:numId w:val="11"/>
        </w:numPr>
        <w:tabs>
          <w:tab w:val="left" w:pos="540"/>
          <w:tab w:val="clear" w:pos="992"/>
        </w:tabs>
        <w:spacing w:line="460" w:lineRule="exact"/>
        <w:ind w:left="540"/>
        <w:rPr>
          <w:rFonts w:hint="eastAsia" w:ascii="新宋体" w:hAnsi="新宋体" w:eastAsia="新宋体" w:cs="新宋体"/>
          <w:b/>
          <w:color w:val="auto"/>
          <w:sz w:val="22"/>
          <w:szCs w:val="22"/>
          <w:highlight w:val="none"/>
          <w:u w:val="single"/>
        </w:rPr>
      </w:pPr>
      <w:r>
        <w:rPr>
          <w:rFonts w:hint="eastAsia" w:ascii="新宋体" w:hAnsi="新宋体" w:eastAsia="新宋体" w:cs="新宋体"/>
          <w:b/>
          <w:color w:val="auto"/>
          <w:sz w:val="22"/>
          <w:szCs w:val="22"/>
          <w:highlight w:val="none"/>
          <w:u w:val="single"/>
        </w:rPr>
        <w:t>投标供应商应按照前附表的要求提供投标文件，分别装订成册。每套投标文件的封面应清楚标</w:t>
      </w:r>
    </w:p>
    <w:p w14:paraId="4F5FC2A0">
      <w:pPr>
        <w:numPr>
          <w:ilvl w:val="255"/>
          <w:numId w:val="0"/>
        </w:numPr>
        <w:tabs>
          <w:tab w:val="left" w:pos="540"/>
        </w:tabs>
        <w:spacing w:line="460" w:lineRule="exact"/>
        <w:ind w:left="-27"/>
        <w:rPr>
          <w:rFonts w:hint="eastAsia" w:ascii="新宋体" w:hAnsi="新宋体" w:eastAsia="新宋体" w:cs="新宋体"/>
          <w:b/>
          <w:color w:val="auto"/>
          <w:sz w:val="22"/>
          <w:szCs w:val="22"/>
          <w:highlight w:val="none"/>
          <w:u w:val="single"/>
        </w:rPr>
      </w:pPr>
      <w:r>
        <w:rPr>
          <w:rFonts w:hint="eastAsia" w:ascii="新宋体" w:hAnsi="新宋体" w:eastAsia="新宋体" w:cs="新宋体"/>
          <w:b/>
          <w:color w:val="auto"/>
          <w:sz w:val="22"/>
          <w:szCs w:val="22"/>
          <w:highlight w:val="none"/>
          <w:u w:val="single"/>
        </w:rPr>
        <w:t>明“正本”或“副本”字样，若“正本”与“副本”不符，以“正本”为准。</w:t>
      </w:r>
    </w:p>
    <w:p w14:paraId="27BA53CF">
      <w:pPr>
        <w:numPr>
          <w:ilvl w:val="1"/>
          <w:numId w:val="11"/>
        </w:numPr>
        <w:tabs>
          <w:tab w:val="left" w:pos="540"/>
          <w:tab w:val="clear" w:pos="992"/>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投标文件的正本必须打印或用不褪色的墨水书写，并由法定代表人或其授权代表签署，副本可</w:t>
      </w:r>
    </w:p>
    <w:p w14:paraId="322E0451">
      <w:pPr>
        <w:numPr>
          <w:ilvl w:val="255"/>
          <w:numId w:val="0"/>
        </w:num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用正本的复印。</w:t>
      </w:r>
    </w:p>
    <w:p w14:paraId="2A686248">
      <w:pPr>
        <w:numPr>
          <w:ilvl w:val="1"/>
          <w:numId w:val="11"/>
        </w:numPr>
        <w:tabs>
          <w:tab w:val="left" w:pos="540"/>
          <w:tab w:val="clear" w:pos="992"/>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投标文件如有修改和增删必须由投标文件签字人在修改和增删处旁签署或盖章，方才有效。</w:t>
      </w:r>
    </w:p>
    <w:p w14:paraId="018F293F">
      <w:pPr>
        <w:numPr>
          <w:ilvl w:val="1"/>
          <w:numId w:val="11"/>
        </w:numPr>
        <w:tabs>
          <w:tab w:val="left" w:pos="540"/>
          <w:tab w:val="clear" w:pos="992"/>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投标文件字迹模糊或在关键的技术、商务条款上表述不清楚，将可能导致其投标被拒绝。</w:t>
      </w:r>
    </w:p>
    <w:p w14:paraId="6C2DF521">
      <w:pPr>
        <w:numPr>
          <w:ilvl w:val="0"/>
          <w:numId w:val="4"/>
        </w:numPr>
        <w:tabs>
          <w:tab w:val="left" w:pos="540"/>
        </w:tabs>
        <w:spacing w:line="460" w:lineRule="exact"/>
        <w:ind w:left="540" w:hanging="54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投标文件的密封及标记</w:t>
      </w:r>
    </w:p>
    <w:p w14:paraId="3A21E960">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15.1 投标供应商必须将投标文件的“资格审查资料”、“技术资信标”、“商务报价标”分别单独密封，且在各自的密封袋上标明“技术资信标”和“商务报价标”字样。封口处贴上封条，启封处加盖投标单位公章并由法定代表人或其授权代表签字。封皮上写明投标项目名称、项目编号，并注明“开标时启封”字样。</w:t>
      </w:r>
    </w:p>
    <w:p w14:paraId="4202ECF4">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15.2</w:t>
      </w:r>
      <w:r>
        <w:rPr>
          <w:rFonts w:hint="eastAsia" w:ascii="宋体" w:cs="宋体"/>
          <w:b/>
          <w:bCs/>
          <w:color w:val="auto"/>
          <w:sz w:val="22"/>
          <w:szCs w:val="22"/>
          <w:highlight w:val="none"/>
          <w:u w:val="single"/>
        </w:rPr>
        <w:t>▲投标文件“资格审查资料”、“技术资信标”、“商务报价标”</w:t>
      </w:r>
      <w:r>
        <w:rPr>
          <w:rFonts w:hint="eastAsia" w:ascii="新宋体" w:hAnsi="新宋体" w:eastAsia="新宋体" w:cs="新宋体"/>
          <w:b/>
          <w:color w:val="auto"/>
          <w:sz w:val="22"/>
          <w:szCs w:val="22"/>
          <w:highlight w:val="none"/>
          <w:u w:val="single"/>
        </w:rPr>
        <w:t>应分别制作编制、装订、密封</w:t>
      </w:r>
      <w:r>
        <w:rPr>
          <w:rFonts w:hint="eastAsia" w:ascii="新宋体" w:hAnsi="新宋体" w:eastAsia="新宋体" w:cs="新宋体"/>
          <w:b/>
          <w:color w:val="auto"/>
          <w:sz w:val="22"/>
          <w:szCs w:val="22"/>
          <w:highlight w:val="none"/>
        </w:rPr>
        <w:t>。</w:t>
      </w:r>
    </w:p>
    <w:p w14:paraId="054927C2">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15.3如果投标供应商未按上述要求密封及加写标记，导致投标文件被拒绝接收的责任自负。</w:t>
      </w:r>
    </w:p>
    <w:p w14:paraId="6286EC28">
      <w:pPr>
        <w:spacing w:before="100" w:beforeAutospacing="1" w:after="100" w:afterAutospacing="1" w:line="440" w:lineRule="exact"/>
        <w:ind w:left="783" w:hanging="783" w:hangingChars="300"/>
        <w:jc w:val="center"/>
        <w:outlineLvl w:val="0"/>
        <w:rPr>
          <w:rFonts w:hint="eastAsia" w:ascii="新宋体" w:hAnsi="新宋体" w:eastAsia="新宋体" w:cs="新宋体"/>
          <w:color w:val="auto"/>
          <w:sz w:val="22"/>
          <w:szCs w:val="22"/>
          <w:highlight w:val="none"/>
        </w:rPr>
      </w:pPr>
      <w:bookmarkStart w:id="55" w:name="_Toc221374626"/>
      <w:bookmarkStart w:id="56" w:name="_Toc221356951"/>
      <w:bookmarkStart w:id="57" w:name="_Toc1539"/>
      <w:bookmarkStart w:id="58" w:name="_Toc221423619"/>
      <w:bookmarkStart w:id="59" w:name="_Toc71374675"/>
      <w:bookmarkStart w:id="60" w:name="_Toc222114879"/>
      <w:bookmarkStart w:id="61" w:name="_Toc241404202"/>
      <w:bookmarkStart w:id="62" w:name="_Toc239145354"/>
      <w:bookmarkStart w:id="63" w:name="_Toc223715998"/>
      <w:bookmarkStart w:id="64" w:name="_Toc265529383"/>
      <w:bookmarkStart w:id="65" w:name="_Toc221356887"/>
      <w:r>
        <w:rPr>
          <w:rFonts w:hint="eastAsia" w:ascii="新宋体" w:hAnsi="新宋体" w:eastAsia="新宋体" w:cs="新宋体"/>
          <w:b/>
          <w:bCs/>
          <w:color w:val="auto"/>
          <w:sz w:val="26"/>
          <w:szCs w:val="26"/>
          <w:highlight w:val="none"/>
        </w:rPr>
        <w:t>四、 投标文件的递交</w:t>
      </w:r>
      <w:bookmarkEnd w:id="55"/>
      <w:bookmarkEnd w:id="56"/>
      <w:bookmarkEnd w:id="57"/>
      <w:bookmarkEnd w:id="58"/>
      <w:bookmarkEnd w:id="59"/>
      <w:bookmarkEnd w:id="60"/>
      <w:bookmarkEnd w:id="61"/>
      <w:bookmarkEnd w:id="62"/>
      <w:bookmarkEnd w:id="63"/>
      <w:bookmarkEnd w:id="64"/>
      <w:bookmarkEnd w:id="65"/>
    </w:p>
    <w:p w14:paraId="6D1E9A96">
      <w:pPr>
        <w:numPr>
          <w:ilvl w:val="0"/>
          <w:numId w:val="12"/>
        </w:num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投标文件的递交</w:t>
      </w:r>
    </w:p>
    <w:p w14:paraId="4A1D6773">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16.1 投标文件必须在规定的投标截止时间前送达到指定的收标地点；</w:t>
      </w:r>
    </w:p>
    <w:p w14:paraId="65168376">
      <w:pPr>
        <w:tabs>
          <w:tab w:val="left" w:pos="540"/>
        </w:tabs>
        <w:spacing w:line="460" w:lineRule="exact"/>
        <w:rPr>
          <w:rFonts w:hint="eastAsia" w:ascii="新宋体" w:hAnsi="新宋体" w:eastAsia="新宋体" w:cs="新宋体"/>
          <w:b/>
          <w:color w:val="auto"/>
          <w:sz w:val="22"/>
          <w:szCs w:val="22"/>
          <w:highlight w:val="none"/>
          <w:u w:val="single"/>
        </w:rPr>
      </w:pPr>
      <w:r>
        <w:rPr>
          <w:rFonts w:hint="eastAsia" w:ascii="新宋体" w:hAnsi="新宋体" w:eastAsia="新宋体" w:cs="新宋体"/>
          <w:b/>
          <w:color w:val="auto"/>
          <w:sz w:val="22"/>
          <w:szCs w:val="22"/>
          <w:highlight w:val="none"/>
          <w:u w:val="single"/>
        </w:rPr>
        <w:t>16.2 在递交投标文件同时递交以下证明文件，由采购人或采购代理机构在开启投标文件资格审查材料后确认投标资格：</w:t>
      </w:r>
    </w:p>
    <w:p w14:paraId="2BBE3A28">
      <w:pPr>
        <w:numPr>
          <w:ilvl w:val="0"/>
          <w:numId w:val="13"/>
        </w:num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投标保证金缴纳证明文件；</w:t>
      </w:r>
    </w:p>
    <w:p w14:paraId="3BC9E6C6">
      <w:pPr>
        <w:numPr>
          <w:ilvl w:val="0"/>
          <w:numId w:val="13"/>
        </w:num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法定代表人有效身份证明原件（若投标供应商代表为法定代表人）；</w:t>
      </w:r>
    </w:p>
    <w:p w14:paraId="4BA71664">
      <w:pPr>
        <w:numPr>
          <w:ilvl w:val="0"/>
          <w:numId w:val="13"/>
        </w:numPr>
        <w:tabs>
          <w:tab w:val="left" w:pos="540"/>
        </w:tabs>
        <w:spacing w:line="460" w:lineRule="exact"/>
        <w:rPr>
          <w:rFonts w:hint="eastAsia" w:ascii="新宋体" w:hAnsi="新宋体" w:eastAsia="新宋体" w:cs="新宋体"/>
          <w:bCs/>
          <w:color w:val="auto"/>
          <w:sz w:val="22"/>
          <w:szCs w:val="22"/>
          <w:highlight w:val="none"/>
          <w:u w:val="single"/>
        </w:rPr>
      </w:pPr>
      <w:r>
        <w:rPr>
          <w:rFonts w:hint="eastAsia" w:ascii="新宋体" w:hAnsi="新宋体" w:eastAsia="新宋体" w:cs="新宋体"/>
          <w:bCs/>
          <w:color w:val="auto"/>
          <w:kern w:val="0"/>
          <w:sz w:val="22"/>
          <w:szCs w:val="22"/>
          <w:highlight w:val="none"/>
        </w:rPr>
        <w:t>法定代表人授权书原件及授权代表有效身份证明原件（若法定代表人在参加投标活动的同时另行委派投标供应商代表，法定代表人授权书原件如密封在投标文件资格审查材料中，在资格审查材料开启后经采购人或采购代理机构查验符合要求亦为有效）；</w:t>
      </w:r>
    </w:p>
    <w:p w14:paraId="6412D9B6">
      <w:pPr>
        <w:numPr>
          <w:ilvl w:val="0"/>
          <w:numId w:val="13"/>
        </w:numPr>
        <w:tabs>
          <w:tab w:val="left" w:pos="540"/>
        </w:tabs>
        <w:spacing w:line="460" w:lineRule="exact"/>
        <w:rPr>
          <w:color w:val="auto"/>
          <w:highlight w:val="none"/>
        </w:rPr>
      </w:pPr>
      <w:r>
        <w:rPr>
          <w:rFonts w:hint="eastAsia" w:ascii="新宋体" w:hAnsi="新宋体" w:eastAsia="新宋体" w:cs="新宋体"/>
          <w:bCs/>
          <w:color w:val="auto"/>
          <w:kern w:val="0"/>
          <w:sz w:val="22"/>
          <w:szCs w:val="22"/>
          <w:highlight w:val="none"/>
        </w:rPr>
        <w:t>企业法人营业执照复印件（加盖公章，如密封在投标文件资格审查材料中，在资格审查材料开启后经采购人或采购代理机构查验符合要求亦为有效）。</w:t>
      </w:r>
    </w:p>
    <w:p w14:paraId="4236FDB9">
      <w:pPr>
        <w:numPr>
          <w:ilvl w:val="0"/>
          <w:numId w:val="12"/>
        </w:numPr>
        <w:tabs>
          <w:tab w:val="left" w:pos="54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投标文件的修改和撤回</w:t>
      </w:r>
    </w:p>
    <w:p w14:paraId="52B07D8B">
      <w:pPr>
        <w:tabs>
          <w:tab w:val="left" w:pos="54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17.1 在投标截止时间前，投标供应商可以用书面形式提出修改或撤回其投标并送达到采购人，但不得影响开标活动的正常进行。</w:t>
      </w:r>
    </w:p>
    <w:p w14:paraId="57CD2772">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17.2 “投标文件修改”或“投标文件撤回通知”都应密封并在密封袋上写明投标项目名称、项目编号、投标单位名称，并注明“投标文件修改”或“投标文件撤回通知”字样。</w:t>
      </w:r>
    </w:p>
    <w:p w14:paraId="746F141B">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17.3 从投标截止日期起至投标有效期满这段时间内，投标供应商不得撤回其投标，否则投标保证金将</w:t>
      </w:r>
      <w:r>
        <w:rPr>
          <w:rFonts w:hint="eastAsia" w:ascii="新宋体" w:hAnsi="新宋体" w:eastAsia="新宋体" w:cs="新宋体"/>
          <w:color w:val="auto"/>
          <w:sz w:val="22"/>
          <w:szCs w:val="22"/>
          <w:highlight w:val="none"/>
        </w:rPr>
        <w:t>被不予退还。</w:t>
      </w:r>
    </w:p>
    <w:p w14:paraId="64634BE3">
      <w:pPr>
        <w:numPr>
          <w:ilvl w:val="0"/>
          <w:numId w:val="12"/>
        </w:numPr>
        <w:tabs>
          <w:tab w:val="left" w:pos="54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highlight w:val="none"/>
        </w:rPr>
        <w:t>递交投标文件时，需满足以下要求，否则该投标文件予以拒收：</w:t>
      </w:r>
    </w:p>
    <w:p w14:paraId="50633BE0">
      <w:pPr>
        <w:tabs>
          <w:tab w:val="left" w:pos="540"/>
        </w:tabs>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18.1 在投标截止时间之前递交。</w:t>
      </w:r>
    </w:p>
    <w:p w14:paraId="09FCD63F">
      <w:pPr>
        <w:tabs>
          <w:tab w:val="left" w:pos="540"/>
        </w:tabs>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18.2 包装与密封符合采购文件要求。</w:t>
      </w:r>
    </w:p>
    <w:p w14:paraId="43B3E882">
      <w:pPr>
        <w:tabs>
          <w:tab w:val="left" w:pos="540"/>
        </w:tabs>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18.3 投标文件递交到指定的投标地点。</w:t>
      </w:r>
    </w:p>
    <w:p w14:paraId="67EB90DA">
      <w:pPr>
        <w:tabs>
          <w:tab w:val="left" w:pos="360"/>
          <w:tab w:val="left" w:pos="540"/>
          <w:tab w:val="left" w:pos="1260"/>
        </w:tabs>
        <w:spacing w:before="100" w:beforeAutospacing="1" w:after="100" w:afterAutospacing="1" w:line="440" w:lineRule="exact"/>
        <w:ind w:left="919" w:hanging="919" w:hangingChars="352"/>
        <w:jc w:val="center"/>
        <w:outlineLvl w:val="0"/>
        <w:rPr>
          <w:rFonts w:hint="eastAsia" w:ascii="新宋体" w:hAnsi="新宋体" w:eastAsia="新宋体" w:cs="新宋体"/>
          <w:color w:val="auto"/>
          <w:sz w:val="22"/>
          <w:szCs w:val="22"/>
          <w:highlight w:val="none"/>
        </w:rPr>
      </w:pPr>
      <w:bookmarkStart w:id="66" w:name="_Toc221356888"/>
      <w:bookmarkStart w:id="67" w:name="_Toc71374676"/>
      <w:bookmarkStart w:id="68" w:name="_Toc221423620"/>
      <w:bookmarkStart w:id="69" w:name="_Toc221374627"/>
      <w:bookmarkStart w:id="70" w:name="_Toc241404203"/>
      <w:bookmarkStart w:id="71" w:name="_Toc221356952"/>
      <w:bookmarkStart w:id="72" w:name="_Toc265529384"/>
      <w:bookmarkStart w:id="73" w:name="_Toc239145355"/>
      <w:bookmarkStart w:id="74" w:name="_Toc223715999"/>
      <w:bookmarkStart w:id="75" w:name="_Toc2442"/>
      <w:bookmarkStart w:id="76" w:name="_Toc222114880"/>
      <w:r>
        <w:rPr>
          <w:rFonts w:hint="eastAsia" w:ascii="新宋体" w:hAnsi="新宋体" w:eastAsia="新宋体" w:cs="新宋体"/>
          <w:b/>
          <w:bCs/>
          <w:color w:val="auto"/>
          <w:sz w:val="26"/>
          <w:szCs w:val="26"/>
          <w:highlight w:val="none"/>
        </w:rPr>
        <w:t>五、 开标和评标</w:t>
      </w:r>
      <w:bookmarkEnd w:id="66"/>
      <w:bookmarkEnd w:id="67"/>
      <w:bookmarkEnd w:id="68"/>
      <w:bookmarkEnd w:id="69"/>
      <w:bookmarkEnd w:id="70"/>
      <w:bookmarkEnd w:id="71"/>
      <w:bookmarkEnd w:id="72"/>
      <w:bookmarkEnd w:id="73"/>
      <w:bookmarkEnd w:id="74"/>
      <w:bookmarkEnd w:id="75"/>
      <w:bookmarkEnd w:id="76"/>
    </w:p>
    <w:p w14:paraId="5320DBED">
      <w:pPr>
        <w:numPr>
          <w:ilvl w:val="0"/>
          <w:numId w:val="14"/>
        </w:numPr>
        <w:tabs>
          <w:tab w:val="left" w:pos="540"/>
        </w:tabs>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评标委员会</w:t>
      </w:r>
    </w:p>
    <w:p w14:paraId="17E883E2">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bCs/>
          <w:color w:val="auto"/>
          <w:sz w:val="22"/>
          <w:szCs w:val="22"/>
          <w:highlight w:val="none"/>
        </w:rPr>
        <w:t>评标委员会成员由采购人代表和有关技术、经济等方面的专家组成，成员人数为</w:t>
      </w:r>
      <w:r>
        <w:rPr>
          <w:rFonts w:hint="eastAsia" w:ascii="新宋体" w:hAnsi="新宋体" w:eastAsia="新宋体" w:cs="新宋体"/>
          <w:bCs/>
          <w:color w:val="auto"/>
          <w:sz w:val="22"/>
          <w:szCs w:val="22"/>
          <w:highlight w:val="none"/>
          <w:lang w:val="en-US" w:eastAsia="zh-CN"/>
        </w:rPr>
        <w:t>5</w:t>
      </w:r>
      <w:r>
        <w:rPr>
          <w:rFonts w:hint="eastAsia" w:ascii="新宋体" w:hAnsi="新宋体" w:eastAsia="新宋体" w:cs="新宋体"/>
          <w:bCs/>
          <w:color w:val="auto"/>
          <w:sz w:val="22"/>
          <w:szCs w:val="22"/>
          <w:highlight w:val="none"/>
        </w:rPr>
        <w:t>人及以上单数，其中技术、经济类专家不得少于总人数的2/3，除采购人代表外的专家将在乐采云平台的评标专家库中随机抽取产生。评标委员会的成员在评标过程中必须严格遵守《温州市市属国有企业采购管理办法》等有关法律、法规的规定。</w:t>
      </w:r>
    </w:p>
    <w:p w14:paraId="4E183F6E">
      <w:pPr>
        <w:numPr>
          <w:ilvl w:val="0"/>
          <w:numId w:val="14"/>
        </w:numPr>
        <w:tabs>
          <w:tab w:val="left" w:pos="540"/>
        </w:tabs>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评标过程的保密性</w:t>
      </w:r>
    </w:p>
    <w:p w14:paraId="13463FFF">
      <w:pPr>
        <w:spacing w:line="44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开标后直至向中标供应商授予合同时止，凡与评审有关的资料均不得向投标供应商及与评标无关人员透露。如果投标供应商在评标过程中试图向采购人和采购代理机构施加影响，其投标将被拒绝。</w:t>
      </w:r>
    </w:p>
    <w:p w14:paraId="0911D5BC">
      <w:pPr>
        <w:numPr>
          <w:ilvl w:val="0"/>
          <w:numId w:val="14"/>
        </w:numPr>
        <w:tabs>
          <w:tab w:val="left" w:pos="540"/>
        </w:tabs>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Cs/>
          <w:color w:val="auto"/>
          <w:sz w:val="22"/>
          <w:szCs w:val="22"/>
          <w:highlight w:val="none"/>
        </w:rPr>
        <w:t>开标、评标</w:t>
      </w:r>
    </w:p>
    <w:p w14:paraId="0C413457">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21.1采购人按采购文件规定的时间、地点开启投标文件。开标前，首先检查投标文件的密封情况，确认无误后开启投标文件。</w:t>
      </w:r>
    </w:p>
    <w:p w14:paraId="3C819312">
      <w:pPr>
        <w:numPr>
          <w:ilvl w:val="0"/>
          <w:numId w:val="15"/>
        </w:num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开标时邀请所有投标供应商代表参加，参加开标的代表应准时出席并签名报到以证明其出席。投标供应商代表未参加开标会的，事后不得对开标过程和开标结果提出异议。</w:t>
      </w:r>
    </w:p>
    <w:p w14:paraId="51F3EC7C">
      <w:pPr>
        <w:numPr>
          <w:ilvl w:val="0"/>
          <w:numId w:val="15"/>
        </w:num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时，应当由投标供应商推选的代表检查投标文件的密封情况；经确认无误后，由采购代理机构工作人员当众拆封，宣布投标供应商名称和采购文件规定的需要宣布的其他内容。采购代理机构指定专人作好记录，存档备查。投标供应商代表应对宣读内容及记录结果当场进行校核和签字确认，如有异议应当场提出，否则视为默许同意。</w:t>
      </w:r>
    </w:p>
    <w:p w14:paraId="15C42DD0">
      <w:pPr>
        <w:numPr>
          <w:ilvl w:val="0"/>
          <w:numId w:val="15"/>
        </w:num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结束后，采购人或采购代理机构依法对投标供应商的资格进行审查。审查内容包括但不仅限于随投标文件一同提交的法定代表人授权书（原件）、投标供应商代表有效身份证件（原件）、企业法人营业执照复印件、投标保证金，以及投标文件所提交证明材料是否能证明符合本项目对合格投标供应商的实质性要求。通过资格审查视作具备投标资格，审查不合格的投标文件将不进入后续详细评审。</w:t>
      </w:r>
    </w:p>
    <w:p w14:paraId="221E3318">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21.2投标文件的初审（符合性检查）。</w:t>
      </w:r>
    </w:p>
    <w:p w14:paraId="7B9AF1D6">
      <w:pPr>
        <w:spacing w:line="44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评标委员会依据采购文件的规定，从投标文件中的有效性、完整性和对采购文件的响应程度进行审查，以确定是否对采购文件的实质性要求作出响应。</w:t>
      </w:r>
    </w:p>
    <w:p w14:paraId="023CA1F2">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21.3▲</w:t>
      </w:r>
      <w:r>
        <w:rPr>
          <w:rFonts w:hint="eastAsia" w:ascii="新宋体" w:hAnsi="新宋体" w:eastAsia="新宋体" w:cs="新宋体"/>
          <w:b/>
          <w:bCs/>
          <w:color w:val="auto"/>
          <w:kern w:val="0"/>
          <w:sz w:val="22"/>
          <w:szCs w:val="22"/>
          <w:highlight w:val="none"/>
          <w:u w:val="single"/>
        </w:rPr>
        <w:t>投标供应商存在下列情况之一的，投标无效</w:t>
      </w:r>
      <w:r>
        <w:rPr>
          <w:rFonts w:hint="eastAsia" w:ascii="新宋体" w:hAnsi="新宋体" w:eastAsia="新宋体" w:cs="新宋体"/>
          <w:color w:val="auto"/>
          <w:kern w:val="0"/>
          <w:sz w:val="22"/>
          <w:szCs w:val="22"/>
          <w:highlight w:val="none"/>
        </w:rPr>
        <w:t>:</w:t>
      </w:r>
    </w:p>
    <w:p w14:paraId="6B1D767C">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1）未按照采购文件的规定提交投标保证金的；</w:t>
      </w:r>
    </w:p>
    <w:p w14:paraId="64576E61">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2）投标文件正本未按采购文件要求签署、盖章的；</w:t>
      </w:r>
    </w:p>
    <w:p w14:paraId="09326F69">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3）不具备采购文件中规定的资格要求的；</w:t>
      </w:r>
    </w:p>
    <w:p w14:paraId="6EE8BF65">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4）报价超过采购文件中规定的采购预算或投标限价的；</w:t>
      </w:r>
    </w:p>
    <w:p w14:paraId="720384FE">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5）投标文件含有采购人不能接受的附加条件的（包括采购文件中明确要求不得偏离的采购要求，存在负偏离的）；</w:t>
      </w:r>
    </w:p>
    <w:p w14:paraId="0C11F57E">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6）投标供应商递交两份或两份以上内容不同的投标文件，未声明哪一份有效的；</w:t>
      </w:r>
    </w:p>
    <w:p w14:paraId="2803A7EF">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7）未对所有项目内容进行投标的；</w:t>
      </w:r>
    </w:p>
    <w:p w14:paraId="2F4E4867">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8）存在串标、抬标或弄虚作假情况的；</w:t>
      </w:r>
    </w:p>
    <w:p w14:paraId="693C6351">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9）法律、法规和采购文件规定的其他无效情形（或出现重大偏差）。</w:t>
      </w:r>
    </w:p>
    <w:p w14:paraId="4CBB1AB4">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21.4▲</w:t>
      </w:r>
      <w:r>
        <w:rPr>
          <w:rFonts w:hint="eastAsia" w:ascii="新宋体" w:hAnsi="新宋体" w:eastAsia="新宋体" w:cs="新宋体"/>
          <w:b/>
          <w:bCs/>
          <w:color w:val="auto"/>
          <w:kern w:val="0"/>
          <w:sz w:val="22"/>
          <w:szCs w:val="22"/>
          <w:highlight w:val="none"/>
          <w:u w:val="single"/>
        </w:rPr>
        <w:t>评标委员会发现投标文件有下列情形之一的属于重大偏差(评标委员会按少数服从多数原则认定),按照无效投标处理</w:t>
      </w:r>
      <w:r>
        <w:rPr>
          <w:rFonts w:hint="eastAsia" w:ascii="新宋体" w:hAnsi="新宋体" w:eastAsia="新宋体" w:cs="新宋体"/>
          <w:color w:val="auto"/>
          <w:kern w:val="0"/>
          <w:sz w:val="22"/>
          <w:szCs w:val="22"/>
          <w:highlight w:val="none"/>
        </w:rPr>
        <w:t>：</w:t>
      </w:r>
    </w:p>
    <w:p w14:paraId="40FC4408">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1）未按采购文件要求编制或字迹模糊、辨认不清的投标文件；</w:t>
      </w:r>
    </w:p>
    <w:p w14:paraId="28CABC2D">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2）除21.3条款以外，出现其它明显不符合技术规格、技术标准的要求或不满足采购文件技术规格书中的主要参数的投标文件；</w:t>
      </w:r>
    </w:p>
    <w:p w14:paraId="04A1D8F4">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3）除21.3条款以外，出现投标项目数量与采购文件对比出现较大偏差；商务报价明细表计算错误，出现较大差错；</w:t>
      </w:r>
    </w:p>
    <w:p w14:paraId="500CAA82">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4）除21.3条款以外，出现其它不符合采购文件中规定的实质性要求的投标文件，是否为偏离实质性要求由评标委员会认定。</w:t>
      </w:r>
    </w:p>
    <w:p w14:paraId="10F61AF7">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21.5</w:t>
      </w:r>
      <w:r>
        <w:rPr>
          <w:rFonts w:hint="eastAsia" w:ascii="新宋体" w:hAnsi="新宋体" w:eastAsia="新宋体" w:cs="新宋体"/>
          <w:b/>
          <w:bCs/>
          <w:color w:val="auto"/>
          <w:kern w:val="0"/>
          <w:sz w:val="22"/>
          <w:szCs w:val="22"/>
          <w:highlight w:val="none"/>
          <w:u w:val="single"/>
        </w:rPr>
        <w:t>有下列情形之一的，视为投标供应商串通投标，其投标无效</w:t>
      </w:r>
      <w:r>
        <w:rPr>
          <w:rFonts w:hint="eastAsia" w:ascii="新宋体" w:hAnsi="新宋体" w:eastAsia="新宋体" w:cs="新宋体"/>
          <w:color w:val="auto"/>
          <w:kern w:val="0"/>
          <w:sz w:val="22"/>
          <w:szCs w:val="22"/>
          <w:highlight w:val="none"/>
        </w:rPr>
        <w:t>：</w:t>
      </w:r>
    </w:p>
    <w:p w14:paraId="4C75321F">
      <w:pPr>
        <w:numPr>
          <w:ilvl w:val="0"/>
          <w:numId w:val="16"/>
        </w:num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不同投标供应商的投标文件由同一单位或者个人编制；</w:t>
      </w:r>
    </w:p>
    <w:p w14:paraId="4710B889">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2) 不同投标供应商委托同一单位或者个人办理投标事宜；</w:t>
      </w:r>
    </w:p>
    <w:p w14:paraId="67844179">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3) 不同投标供应商的投标文件载明的项目管理成员或者联系人员为同一人；</w:t>
      </w:r>
    </w:p>
    <w:p w14:paraId="57D0B9C3">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4）不同投标供应商的投标文件异常一致或者投标报价呈规律性差异；</w:t>
      </w:r>
    </w:p>
    <w:p w14:paraId="7D7362E0">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5）不同投标供应商的投标文件相互混装；</w:t>
      </w:r>
    </w:p>
    <w:p w14:paraId="4EA520F0">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6）不同投标供应商的投标保证金从同一单位或者个人的账户转出。</w:t>
      </w:r>
    </w:p>
    <w:p w14:paraId="2FED70E1">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21.6评标委员会对各投标供应商的商务报价进行核查时，若发现投标报价内容不清楚可要求投标供应商书面澄清，计算上的错误，可按下面方法修正：</w:t>
      </w:r>
    </w:p>
    <w:p w14:paraId="43102B79">
      <w:p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1）投标文件中开标一览表(报价表)内容与投标文件中相应内容不一致的，以开标一览表(报价表)为准；</w:t>
      </w:r>
    </w:p>
    <w:p w14:paraId="5E60A296">
      <w:p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2）大写金额和小写金额不一致的，以大写金额为准；</w:t>
      </w:r>
    </w:p>
    <w:p w14:paraId="3C4A4855">
      <w:p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3）单价金额小数点或者百分比有明显错位的，以开标一览表的总价为准，并修改单价；</w:t>
      </w:r>
    </w:p>
    <w:p w14:paraId="08C5B7AE">
      <w:p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4）总价金额与按单价汇总金额不一致的，以单价金额计算结果为准。</w:t>
      </w:r>
    </w:p>
    <w:p w14:paraId="242436AD">
      <w:p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同时出现两种以上不一致的，按照前款规定的顺序修正。如果投标人不接受对其价格错误进行修正，其投标将被否决。</w:t>
      </w:r>
    </w:p>
    <w:p w14:paraId="1C52419F">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21.7在详细评标之前，评标委员会要审查每份投标文件是否实质上响应了采购文件的要求。实质上响应的投标应该是与采购文件要求的全部条款、条件和规格基本相符。没有重大偏离。评标委员会决定投标的响应性只根据投标文件本身的内容，而不寻求外部的证据。</w:t>
      </w:r>
    </w:p>
    <w:p w14:paraId="1AAC4223">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21.8实质上没有响应采购文件要求的投标将被拒绝，投标供应商不得通过修正或撤消不合要求的偏离或保留从而使其投标成为实质上响应的投标。</w:t>
      </w:r>
    </w:p>
    <w:p w14:paraId="5D71F63B">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21.9▲</w:t>
      </w:r>
      <w:r>
        <w:rPr>
          <w:rFonts w:hint="eastAsia" w:ascii="新宋体" w:hAnsi="新宋体" w:eastAsia="新宋体" w:cs="新宋体"/>
          <w:b/>
          <w:bCs/>
          <w:color w:val="auto"/>
          <w:kern w:val="0"/>
          <w:sz w:val="22"/>
          <w:szCs w:val="22"/>
          <w:highlight w:val="none"/>
          <w:u w:val="singl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r>
        <w:rPr>
          <w:rFonts w:hint="eastAsia" w:ascii="新宋体" w:hAnsi="新宋体" w:eastAsia="新宋体" w:cs="新宋体"/>
          <w:color w:val="auto"/>
          <w:kern w:val="0"/>
          <w:sz w:val="22"/>
          <w:szCs w:val="22"/>
          <w:highlight w:val="none"/>
        </w:rPr>
        <w:t>。</w:t>
      </w:r>
    </w:p>
    <w:p w14:paraId="78001424">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21.10评标委员会对审查合格的投标文件按照采购文件中制订的评标方法进行综合评定打分。</w:t>
      </w:r>
    </w:p>
    <w:p w14:paraId="361199B2">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21.11评标过程中遇到特殊情况，由评标委员会遵循公开、公正原则，采取投票方式按照少数服从多数原则决定。</w:t>
      </w:r>
    </w:p>
    <w:p w14:paraId="5C421BCD">
      <w:pPr>
        <w:tabs>
          <w:tab w:val="left" w:pos="540"/>
        </w:tabs>
        <w:spacing w:line="440" w:lineRule="exac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rPr>
        <w:t>21.12</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b/>
          <w:bCs/>
          <w:color w:val="auto"/>
          <w:sz w:val="22"/>
          <w:szCs w:val="22"/>
          <w:highlight w:val="none"/>
          <w:u w:val="single"/>
        </w:rPr>
        <w:t>投标截止时间止及评审期间，出现有效投标供应商不足3家的，则本项目按流（废）标处理，重新组织采购。</w:t>
      </w:r>
    </w:p>
    <w:p w14:paraId="6F317504">
      <w:pPr>
        <w:tabs>
          <w:tab w:val="left" w:pos="540"/>
        </w:tabs>
        <w:spacing w:line="440" w:lineRule="exac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rPr>
        <w:t>21.13</w:t>
      </w:r>
      <w:r>
        <w:rPr>
          <w:rFonts w:hint="eastAsia" w:ascii="新宋体" w:hAnsi="新宋体" w:eastAsia="新宋体" w:cs="新宋体"/>
          <w:b/>
          <w:bCs/>
          <w:color w:val="auto"/>
          <w:sz w:val="22"/>
          <w:szCs w:val="22"/>
          <w:highlight w:val="none"/>
          <w:u w:val="single"/>
        </w:rPr>
        <w:t>采购响应（指投标或谈判、报价）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p>
    <w:p w14:paraId="576309B8">
      <w:pPr>
        <w:numPr>
          <w:ilvl w:val="0"/>
          <w:numId w:val="14"/>
        </w:numPr>
        <w:tabs>
          <w:tab w:val="left" w:pos="540"/>
        </w:tabs>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投标文件的澄清</w:t>
      </w:r>
    </w:p>
    <w:p w14:paraId="0D78CE02">
      <w:pPr>
        <w:tabs>
          <w:tab w:val="left" w:pos="540"/>
        </w:tabs>
        <w:spacing w:line="440" w:lineRule="exact"/>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22.1 在评标期间，评标委员会可以书面方式要求投标供应商对投标文件中含义不明确、对同类问题表述不一致或者有明显文字和计算错误的内容作必要的澄清、说明或补正。澄清、说明或补正应以书面形式并由授权代表签署，但澄清内容不得超出投标文件的范围或者改变投标文件的实质性内容。拒不按要求对其投标文件进行澄清，说明或补正的投标供应商，评标委员会可以否决其投标。</w:t>
      </w:r>
    </w:p>
    <w:p w14:paraId="6E83E75C">
      <w:pPr>
        <w:tabs>
          <w:tab w:val="left" w:pos="540"/>
        </w:tabs>
        <w:spacing w:line="44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22.2 经澄清后，若偏差仍存在，且不可接受，投标供应商则被认为是“没有实质性响应采购文件要求”，其投标不进入下一步评审。</w:t>
      </w:r>
    </w:p>
    <w:p w14:paraId="554F9CF2">
      <w:pPr>
        <w:numPr>
          <w:ilvl w:val="0"/>
          <w:numId w:val="14"/>
        </w:numPr>
        <w:spacing w:line="440" w:lineRule="exact"/>
        <w:rPr>
          <w:rFonts w:hint="eastAsia" w:ascii="新宋体" w:hAnsi="新宋体" w:eastAsia="新宋体" w:cs="新宋体"/>
          <w:color w:val="auto"/>
          <w:sz w:val="22"/>
          <w:szCs w:val="22"/>
          <w:highlight w:val="none"/>
        </w:rPr>
      </w:pPr>
      <w:bookmarkStart w:id="77" w:name="_Toc239145356"/>
      <w:bookmarkStart w:id="78" w:name="_Toc221356953"/>
      <w:bookmarkStart w:id="79" w:name="_Toc241404204"/>
      <w:bookmarkStart w:id="80" w:name="_Toc221374628"/>
      <w:bookmarkStart w:id="81" w:name="_Toc221356889"/>
      <w:bookmarkStart w:id="82" w:name="_Toc222114881"/>
      <w:bookmarkStart w:id="83" w:name="_Toc223716000"/>
      <w:bookmarkStart w:id="84" w:name="_Toc265529385"/>
      <w:bookmarkStart w:id="85" w:name="_Toc221423621"/>
      <w:r>
        <w:rPr>
          <w:rFonts w:hint="eastAsia" w:ascii="新宋体" w:hAnsi="新宋体" w:eastAsia="新宋体" w:cs="新宋体"/>
          <w:bCs/>
          <w:color w:val="auto"/>
          <w:sz w:val="22"/>
          <w:szCs w:val="22"/>
          <w:highlight w:val="none"/>
        </w:rPr>
        <w:t>确定中标候选供应商</w:t>
      </w:r>
    </w:p>
    <w:p w14:paraId="6A44D8BD">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23.1 本次采购由评标委员会推荐中标候选供应商，采购人根据评标委员会的推荐结果进行最终确认。</w:t>
      </w:r>
    </w:p>
    <w:p w14:paraId="6E3BA8EB">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23.2 评标委员会依据法律、法规及采购文件有关规定在有效标中按投标供应商的最终得分（即技术资信分与商务报价分之和）高低进行排序，得分前二名的投标供应商推荐为中标候选供应商与备选中标供应商（得分相同投标报价低的排序第一；得分且投标报价相同的，由评标委员会成员抽签决定排序）。</w:t>
      </w:r>
    </w:p>
    <w:p w14:paraId="01CC2C8C">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23.4</w:t>
      </w:r>
      <w:r>
        <w:rPr>
          <w:rFonts w:hint="eastAsia" w:ascii="新宋体" w:hAnsi="新宋体" w:eastAsia="新宋体" w:cs="新宋体"/>
          <w:color w:val="auto"/>
          <w:kern w:val="0"/>
          <w:sz w:val="22"/>
          <w:szCs w:val="22"/>
          <w:highlight w:val="none"/>
          <w:lang w:val="zh-CN"/>
        </w:rPr>
        <w:t>若出现以下情形之一，采购人可视具体情况确定是否由备选中标供应商为中标人或重新组织采购：</w:t>
      </w:r>
    </w:p>
    <w:p w14:paraId="10D59D00">
      <w:pPr>
        <w:tabs>
          <w:tab w:val="left" w:pos="540"/>
        </w:tabs>
        <w:autoSpaceDE w:val="0"/>
        <w:autoSpaceDN w:val="0"/>
        <w:adjustRightInd w:val="0"/>
        <w:spacing w:line="440" w:lineRule="atLeast"/>
        <w:ind w:left="567"/>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1）中标候选供应商放弃中标资格；</w:t>
      </w:r>
    </w:p>
    <w:p w14:paraId="6DF4CDEF">
      <w:pPr>
        <w:tabs>
          <w:tab w:val="left" w:pos="540"/>
        </w:tabs>
        <w:autoSpaceDE w:val="0"/>
        <w:autoSpaceDN w:val="0"/>
        <w:adjustRightInd w:val="0"/>
        <w:spacing w:line="440" w:lineRule="atLeast"/>
        <w:ind w:left="567"/>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2）中标候选供应商因不可抗力提出不能履行合同；</w:t>
      </w:r>
    </w:p>
    <w:p w14:paraId="638D3EDC">
      <w:pPr>
        <w:tabs>
          <w:tab w:val="left" w:pos="540"/>
        </w:tabs>
        <w:autoSpaceDE w:val="0"/>
        <w:autoSpaceDN w:val="0"/>
        <w:adjustRightInd w:val="0"/>
        <w:spacing w:line="440" w:lineRule="atLeast"/>
        <w:ind w:left="567"/>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3）中标候选供应商未能在规定的期限内提交履约保证金；</w:t>
      </w:r>
    </w:p>
    <w:p w14:paraId="3CB173A2">
      <w:pPr>
        <w:tabs>
          <w:tab w:val="left" w:pos="540"/>
        </w:tabs>
        <w:autoSpaceDE w:val="0"/>
        <w:autoSpaceDN w:val="0"/>
        <w:adjustRightInd w:val="0"/>
        <w:spacing w:line="440" w:lineRule="atLeast"/>
        <w:ind w:left="567"/>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4）中标候选供应商未能在规定时间内与采购单位签订合同；</w:t>
      </w:r>
    </w:p>
    <w:p w14:paraId="7EADF566">
      <w:pPr>
        <w:tabs>
          <w:tab w:val="left" w:pos="540"/>
        </w:tabs>
        <w:autoSpaceDE w:val="0"/>
        <w:autoSpaceDN w:val="0"/>
        <w:adjustRightInd w:val="0"/>
        <w:spacing w:line="440" w:lineRule="atLeast"/>
        <w:ind w:left="567"/>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zh-CN"/>
        </w:rPr>
        <w:t>5）经质疑，采购人审查后，中标候选供应商确实在本次采购活动中存在违法违规行为或其他原因使质疑成立的。</w:t>
      </w:r>
    </w:p>
    <w:p w14:paraId="72AC4B4E">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23.5 采购人、采购代理机构及评标委员会不向落标的投标供应商解释落标原因，也不公布评标过程中的相关细节。</w:t>
      </w:r>
    </w:p>
    <w:p w14:paraId="56D1D5E9">
      <w:pPr>
        <w:numPr>
          <w:ilvl w:val="0"/>
          <w:numId w:val="14"/>
        </w:numPr>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评标细则详见“评标原则及方法”。</w:t>
      </w:r>
    </w:p>
    <w:p w14:paraId="4B083F1C">
      <w:pPr>
        <w:spacing w:before="100" w:beforeAutospacing="1" w:after="100" w:afterAutospacing="1" w:line="440" w:lineRule="exact"/>
        <w:ind w:left="-6"/>
        <w:jc w:val="center"/>
        <w:outlineLvl w:val="0"/>
        <w:rPr>
          <w:rFonts w:hint="eastAsia" w:ascii="新宋体" w:hAnsi="新宋体" w:eastAsia="新宋体" w:cs="新宋体"/>
          <w:b/>
          <w:bCs/>
          <w:color w:val="auto"/>
          <w:sz w:val="26"/>
          <w:szCs w:val="26"/>
          <w:highlight w:val="none"/>
        </w:rPr>
      </w:pPr>
      <w:bookmarkStart w:id="86" w:name="_Toc71374677"/>
      <w:bookmarkStart w:id="87" w:name="_Toc6508"/>
      <w:r>
        <w:rPr>
          <w:rFonts w:hint="eastAsia" w:ascii="新宋体" w:hAnsi="新宋体" w:eastAsia="新宋体" w:cs="新宋体"/>
          <w:b/>
          <w:bCs/>
          <w:color w:val="auto"/>
          <w:sz w:val="26"/>
          <w:szCs w:val="26"/>
          <w:highlight w:val="none"/>
        </w:rPr>
        <w:t>六、 授予合同</w:t>
      </w:r>
      <w:bookmarkEnd w:id="77"/>
      <w:bookmarkEnd w:id="78"/>
      <w:bookmarkEnd w:id="79"/>
      <w:bookmarkEnd w:id="80"/>
      <w:bookmarkEnd w:id="81"/>
      <w:bookmarkEnd w:id="82"/>
      <w:bookmarkEnd w:id="83"/>
      <w:bookmarkEnd w:id="84"/>
      <w:bookmarkEnd w:id="85"/>
      <w:bookmarkEnd w:id="86"/>
      <w:bookmarkEnd w:id="87"/>
    </w:p>
    <w:p w14:paraId="1669EB7E">
      <w:pPr>
        <w:numPr>
          <w:ilvl w:val="0"/>
          <w:numId w:val="14"/>
        </w:numPr>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确定中标供应商</w:t>
      </w:r>
    </w:p>
    <w:p w14:paraId="787BFDD6">
      <w:pPr>
        <w:tabs>
          <w:tab w:val="left" w:pos="640"/>
        </w:tabs>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xml:space="preserve">25.1 </w:t>
      </w:r>
      <w:r>
        <w:rPr>
          <w:rFonts w:hint="eastAsia" w:ascii="宋体" w:hAnsi="宋体" w:cs="楷体"/>
          <w:color w:val="auto"/>
          <w:sz w:val="22"/>
          <w:szCs w:val="22"/>
          <w:highlight w:val="none"/>
        </w:rPr>
        <w:t>采购代理机构应当自评审结束之日起1个工作日内将评审报告送交采购人</w:t>
      </w:r>
      <w:r>
        <w:rPr>
          <w:rFonts w:hint="eastAsia" w:ascii="宋体" w:hAnsi="宋体" w:cs="楷体"/>
          <w:color w:val="auto"/>
          <w:sz w:val="22"/>
          <w:szCs w:val="22"/>
          <w:highlight w:val="none"/>
          <w:lang w:eastAsia="zh-CN"/>
        </w:rPr>
        <w:t>，</w:t>
      </w:r>
      <w:r>
        <w:rPr>
          <w:rFonts w:hint="eastAsia" w:ascii="宋体" w:hAnsi="宋体" w:cs="楷体"/>
          <w:color w:val="auto"/>
          <w:sz w:val="22"/>
          <w:szCs w:val="22"/>
          <w:highlight w:val="none"/>
        </w:rPr>
        <w:t>采购人在评标报告</w:t>
      </w:r>
      <w:r>
        <w:rPr>
          <w:rFonts w:hint="eastAsia" w:ascii="宋体" w:hAnsi="宋体" w:cs="楷体"/>
          <w:color w:val="auto"/>
          <w:sz w:val="22"/>
          <w:szCs w:val="22"/>
          <w:highlight w:val="none"/>
          <w:lang w:val="en-US" w:eastAsia="zh-CN"/>
        </w:rPr>
        <w:t>推荐</w:t>
      </w:r>
      <w:r>
        <w:rPr>
          <w:rFonts w:hint="eastAsia" w:ascii="宋体" w:hAnsi="宋体" w:cs="楷体"/>
          <w:color w:val="auto"/>
          <w:sz w:val="22"/>
          <w:szCs w:val="22"/>
          <w:highlight w:val="none"/>
        </w:rPr>
        <w:t>的</w:t>
      </w:r>
      <w:r>
        <w:rPr>
          <w:rFonts w:hint="eastAsia" w:ascii="宋体" w:hAnsi="宋体" w:cs="楷体"/>
          <w:color w:val="auto"/>
          <w:sz w:val="22"/>
          <w:szCs w:val="22"/>
          <w:highlight w:val="none"/>
          <w:lang w:eastAsia="zh-CN"/>
        </w:rPr>
        <w:t>中标</w:t>
      </w:r>
      <w:r>
        <w:rPr>
          <w:rFonts w:hint="eastAsia" w:ascii="宋体" w:hAnsi="宋体" w:cs="楷体"/>
          <w:color w:val="auto"/>
          <w:sz w:val="22"/>
          <w:szCs w:val="22"/>
          <w:highlight w:val="none"/>
          <w:lang w:val="en-US" w:eastAsia="zh-CN"/>
        </w:rPr>
        <w:t>候选供应商</w:t>
      </w:r>
      <w:r>
        <w:rPr>
          <w:rFonts w:hint="eastAsia" w:ascii="宋体" w:hAnsi="宋体" w:cs="楷体"/>
          <w:color w:val="auto"/>
          <w:sz w:val="22"/>
          <w:szCs w:val="22"/>
          <w:highlight w:val="none"/>
        </w:rPr>
        <w:t>名单中按顺序确定</w:t>
      </w:r>
      <w:r>
        <w:rPr>
          <w:rFonts w:hint="eastAsia" w:ascii="宋体" w:hAnsi="宋体" w:cs="楷体"/>
          <w:color w:val="auto"/>
          <w:sz w:val="22"/>
          <w:szCs w:val="22"/>
          <w:highlight w:val="none"/>
          <w:lang w:eastAsia="zh-CN"/>
        </w:rPr>
        <w:t>中标</w:t>
      </w:r>
      <w:r>
        <w:rPr>
          <w:rFonts w:hint="eastAsia" w:ascii="宋体" w:hAnsi="宋体" w:cs="楷体"/>
          <w:color w:val="auto"/>
          <w:sz w:val="22"/>
          <w:szCs w:val="22"/>
          <w:highlight w:val="none"/>
          <w:lang w:val="en-US" w:eastAsia="zh-CN"/>
        </w:rPr>
        <w:t>供应商</w:t>
      </w:r>
      <w:r>
        <w:rPr>
          <w:rFonts w:hint="eastAsia" w:ascii="新宋体" w:hAnsi="新宋体" w:eastAsia="新宋体" w:cs="新宋体"/>
          <w:color w:val="auto"/>
          <w:kern w:val="0"/>
          <w:sz w:val="22"/>
          <w:szCs w:val="22"/>
          <w:highlight w:val="none"/>
        </w:rPr>
        <w:t>。</w:t>
      </w:r>
    </w:p>
    <w:p w14:paraId="47C5FC5E">
      <w:pPr>
        <w:tabs>
          <w:tab w:val="left" w:pos="640"/>
        </w:tabs>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25.2 中标供应商确定之日起2个工作日内，采购人或者采购代理机构在乐采云平台、温州国企采购平台以及采购人集团网站上发布中标公告，公告期一般不少于 3 日。</w:t>
      </w:r>
    </w:p>
    <w:p w14:paraId="116F8548">
      <w:pPr>
        <w:tabs>
          <w:tab w:val="left" w:pos="640"/>
        </w:tabs>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25.3 供应商有质疑（异议）的应在公告期内提出，公告期内无供应商提出质疑（异议）的，采购人或采购代理机构应当向中标人发出中标通知书。</w:t>
      </w:r>
    </w:p>
    <w:p w14:paraId="7E58DA8B">
      <w:pPr>
        <w:numPr>
          <w:ilvl w:val="0"/>
          <w:numId w:val="14"/>
        </w:numPr>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签订合同</w:t>
      </w:r>
    </w:p>
    <w:p w14:paraId="31C4F9F6">
      <w:pPr>
        <w:tabs>
          <w:tab w:val="left" w:pos="6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26.1 公告期结束后，中标供应商须主动联系采购人或采购机构领取中标通知书。中标供应商应当在中标通知书发出之日起30日内与采购人签订合同。中标供应商未经采购人许可，在规定时间内未到采购人处与采购人签订合同，则视为拒签合同。</w:t>
      </w:r>
    </w:p>
    <w:p w14:paraId="6CB628C2">
      <w:pPr>
        <w:tabs>
          <w:tab w:val="left" w:pos="6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26.2 采购文件、中标供应商的投标文件及投标修改文件、评标过程中有关澄清文件及经双方签字的询标纪要（承诺）和中标通知书均作为合同附件。</w:t>
      </w:r>
    </w:p>
    <w:p w14:paraId="234684E0">
      <w:pPr>
        <w:tabs>
          <w:tab w:val="left" w:pos="6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26.3 拒签合同的责任</w:t>
      </w:r>
    </w:p>
    <w:p w14:paraId="63645C84">
      <w:pPr>
        <w:tabs>
          <w:tab w:val="left" w:pos="640"/>
        </w:tabs>
        <w:spacing w:line="460" w:lineRule="exac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color w:val="auto"/>
          <w:sz w:val="22"/>
          <w:szCs w:val="22"/>
          <w:highlight w:val="none"/>
        </w:rPr>
        <w:t>26.4 中标供应商在规定时间内（30日历天）借故否认已经承诺的条件、拒签合同或拒交履约保证金者，以投标违约处理，其投标保证金不予退回，并赔偿采购人由此造成的直接经济损失；采购人重新组织采购的，所需费用由原中标供应商承担。</w:t>
      </w:r>
    </w:p>
    <w:p w14:paraId="1C3E1750">
      <w:pPr>
        <w:numPr>
          <w:ilvl w:val="0"/>
          <w:numId w:val="14"/>
        </w:numPr>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履约保证金</w:t>
      </w:r>
    </w:p>
    <w:p w14:paraId="151105FF">
      <w:pPr>
        <w:tabs>
          <w:tab w:val="left" w:pos="640"/>
        </w:tabs>
        <w:spacing w:line="440" w:lineRule="exact"/>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27.1 中标供应商在收到中标通知书后，签订合同前须向采购人提交履约保证金。</w:t>
      </w:r>
    </w:p>
    <w:p w14:paraId="491FC860">
      <w:pPr>
        <w:tabs>
          <w:tab w:val="left" w:pos="640"/>
        </w:tabs>
        <w:spacing w:line="440" w:lineRule="exact"/>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27.2 履约保证金用于补偿委托方因中标供应商不能完成其合同义务而蒙受的损失。</w:t>
      </w:r>
    </w:p>
    <w:p w14:paraId="6356E251">
      <w:pPr>
        <w:tabs>
          <w:tab w:val="left" w:pos="640"/>
        </w:tabs>
        <w:spacing w:line="440" w:lineRule="exact"/>
        <w:rPr>
          <w:rFonts w:hint="eastAsia" w:ascii="新宋体" w:hAnsi="新宋体" w:eastAsia="新宋体" w:cs="新宋体"/>
          <w:b/>
          <w:color w:val="auto"/>
          <w:sz w:val="22"/>
          <w:szCs w:val="22"/>
          <w:highlight w:val="none"/>
        </w:rPr>
      </w:pPr>
      <w:r>
        <w:rPr>
          <w:rFonts w:hint="eastAsia" w:ascii="新宋体" w:hAnsi="新宋体" w:eastAsia="新宋体" w:cs="新宋体"/>
          <w:color w:val="auto"/>
          <w:spacing w:val="6"/>
          <w:sz w:val="22"/>
          <w:szCs w:val="22"/>
          <w:highlight w:val="none"/>
        </w:rPr>
        <w:t>27.3 履约保证金自合同签定生效之日起至完成整个项目并通过最终验收之日止有效。</w:t>
      </w:r>
    </w:p>
    <w:p w14:paraId="1735164B">
      <w:pPr>
        <w:numPr>
          <w:ilvl w:val="0"/>
          <w:numId w:val="14"/>
        </w:numPr>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采购代理服务费</w:t>
      </w:r>
    </w:p>
    <w:p w14:paraId="6AA4FF0E">
      <w:pPr>
        <w:tabs>
          <w:tab w:val="left" w:pos="640"/>
        </w:tabs>
        <w:spacing w:line="440" w:lineRule="exact"/>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z w:val="22"/>
          <w:szCs w:val="22"/>
          <w:highlight w:val="none"/>
        </w:rPr>
        <w:t>28.1本项目采购代理服务费固定金额人民币</w:t>
      </w:r>
      <w:r>
        <w:rPr>
          <w:rFonts w:hint="eastAsia" w:ascii="新宋体" w:hAnsi="新宋体" w:eastAsia="新宋体" w:cs="新宋体"/>
          <w:color w:val="auto"/>
          <w:sz w:val="22"/>
          <w:szCs w:val="22"/>
          <w:highlight w:val="none"/>
          <w:lang w:val="en-US" w:eastAsia="zh-CN"/>
        </w:rPr>
        <w:t>柒仟捌佰元</w:t>
      </w:r>
      <w:r>
        <w:rPr>
          <w:rFonts w:hint="eastAsia" w:ascii="新宋体" w:hAnsi="新宋体" w:eastAsia="新宋体" w:cs="新宋体"/>
          <w:color w:val="auto"/>
          <w:sz w:val="22"/>
          <w:szCs w:val="22"/>
          <w:highlight w:val="none"/>
        </w:rPr>
        <w:t>整收取，该服务费须计入投标报价，由中标供应商在领取中标（成交）通知书之前支付给采购代理机构。</w:t>
      </w:r>
    </w:p>
    <w:p w14:paraId="56D9A4AF">
      <w:pPr>
        <w:tabs>
          <w:tab w:val="left" w:pos="640"/>
        </w:tabs>
        <w:spacing w:line="440" w:lineRule="exact"/>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28.2 采购代理服务费可以是现金、支票或汇票。</w:t>
      </w:r>
    </w:p>
    <w:p w14:paraId="768FBD4A">
      <w:pPr>
        <w:tabs>
          <w:tab w:val="left" w:pos="6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28.3户名：温州市智信招标代理有限公司</w:t>
      </w:r>
    </w:p>
    <w:p w14:paraId="035DB96C">
      <w:pPr>
        <w:tabs>
          <w:tab w:val="left" w:pos="6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账号： 333504140018800009390</w:t>
      </w:r>
    </w:p>
    <w:p w14:paraId="3D9F0953">
      <w:pPr>
        <w:tabs>
          <w:tab w:val="left" w:pos="540"/>
        </w:tabs>
        <w:overflowPunct w:val="0"/>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开户行：交通银行温州分行瓯海支行</w:t>
      </w:r>
    </w:p>
    <w:p w14:paraId="19358B9F">
      <w:pPr>
        <w:tabs>
          <w:tab w:val="left" w:pos="540"/>
        </w:tabs>
        <w:overflowPunct w:val="0"/>
        <w:spacing w:line="400" w:lineRule="exact"/>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29.乐采云国企采购平台项目采购收费标准(温州市市属国企区）</w:t>
      </w:r>
    </w:p>
    <w:p w14:paraId="249FB21B">
      <w:pPr>
        <w:tabs>
          <w:tab w:val="left" w:pos="540"/>
        </w:tabs>
        <w:overflowPunct w:val="0"/>
        <w:spacing w:line="400" w:lineRule="exact"/>
        <w:rPr>
          <w:color w:val="auto"/>
          <w:highlight w:val="none"/>
        </w:rPr>
      </w:pPr>
      <w:r>
        <w:rPr>
          <w:rFonts w:hint="eastAsia" w:ascii="宋体" w:hAnsi="宋体" w:eastAsia="宋体" w:cs="宋体"/>
          <w:color w:val="auto"/>
          <w:szCs w:val="21"/>
          <w:highlight w:val="none"/>
        </w:rPr>
        <w:t>本次招标通过乐采云平台进行，中标供应商需缴纳乐采云技术服务费，相关收费标准详见</w:t>
      </w:r>
      <w:r>
        <w:rPr>
          <w:rFonts w:hint="eastAsia" w:ascii="宋体" w:hAnsi="宋体" w:eastAsia="宋体" w:cs="宋体"/>
          <w:color w:val="auto"/>
          <w:sz w:val="21"/>
          <w:szCs w:val="21"/>
          <w:highlight w:val="none"/>
          <w:lang w:bidi="ar-SA"/>
        </w:rPr>
        <w:t>链接：</w:t>
      </w:r>
      <w:r>
        <w:rPr>
          <w:rFonts w:hint="eastAsia" w:ascii="宋体" w:hAnsi="宋体" w:eastAsia="宋体" w:cs="宋体"/>
          <w:color w:val="auto"/>
          <w:sz w:val="21"/>
          <w:szCs w:val="21"/>
          <w:highlight w:val="none"/>
          <w:lang w:bidi="ar-SA"/>
        </w:rPr>
        <w:fldChar w:fldCharType="begin"/>
      </w:r>
      <w:r>
        <w:rPr>
          <w:rFonts w:hint="eastAsia" w:ascii="宋体" w:hAnsi="宋体" w:eastAsia="宋体" w:cs="宋体"/>
          <w:color w:val="auto"/>
          <w:sz w:val="21"/>
          <w:szCs w:val="21"/>
          <w:highlight w:val="none"/>
          <w:lang w:bidi="ar-SA"/>
        </w:rPr>
        <w:instrText xml:space="preserve">HYPERLINK "https://www.lecaiyun.com/helpcenter/document#/document/detail?siteCode=lecaiyun&amp;manualId=2061&amp;topicId=8625"</w:instrText>
      </w:r>
      <w:r>
        <w:rPr>
          <w:rFonts w:hint="eastAsia" w:ascii="宋体" w:hAnsi="宋体" w:eastAsia="宋体" w:cs="宋体"/>
          <w:color w:val="auto"/>
          <w:sz w:val="21"/>
          <w:szCs w:val="21"/>
          <w:highlight w:val="none"/>
          <w:lang w:bidi="ar-SA"/>
        </w:rPr>
        <w:fldChar w:fldCharType="separate"/>
      </w:r>
      <w:r>
        <w:rPr>
          <w:rFonts w:hint="eastAsia" w:ascii="宋体" w:hAnsi="宋体" w:eastAsia="宋体" w:cs="宋体"/>
          <w:color w:val="auto"/>
          <w:sz w:val="21"/>
          <w:szCs w:val="21"/>
          <w:highlight w:val="none"/>
          <w:lang w:bidi="ar-SA"/>
        </w:rPr>
        <w:t>https://www.lecaiyun.com/helpcenter/document#/document/detail?siteCode=lecaiyun&amp;manualId=2061&amp;topicId=8625</w:t>
      </w:r>
      <w:r>
        <w:rPr>
          <w:rFonts w:hint="eastAsia" w:ascii="宋体" w:hAnsi="宋体" w:eastAsia="宋体" w:cs="宋体"/>
          <w:color w:val="auto"/>
          <w:sz w:val="21"/>
          <w:szCs w:val="21"/>
          <w:highlight w:val="none"/>
          <w:lang w:bidi="ar-SA"/>
        </w:rPr>
        <w:fldChar w:fldCharType="end"/>
      </w:r>
      <w:r>
        <w:rPr>
          <w:rFonts w:hint="eastAsia" w:ascii="宋体" w:hAnsi="宋体" w:eastAsia="宋体" w:cs="宋体"/>
          <w:color w:val="auto"/>
          <w:sz w:val="21"/>
          <w:szCs w:val="21"/>
          <w:highlight w:val="none"/>
          <w:lang w:bidi="ar-SA"/>
        </w:rPr>
        <w:t>（具体以系统实际收费为准）</w:t>
      </w:r>
      <w:r>
        <w:rPr>
          <w:rFonts w:hint="eastAsia" w:ascii="宋体" w:hAnsi="宋体" w:cs="宋体"/>
          <w:color w:val="auto"/>
          <w:sz w:val="22"/>
          <w:szCs w:val="22"/>
          <w:highlight w:val="none"/>
        </w:rPr>
        <w:t>。</w:t>
      </w:r>
    </w:p>
    <w:p w14:paraId="1D807619">
      <w:pPr>
        <w:tabs>
          <w:tab w:val="left" w:pos="640"/>
        </w:tabs>
        <w:spacing w:line="440" w:lineRule="exact"/>
        <w:ind w:firstLine="550" w:firstLineChars="250"/>
        <w:rPr>
          <w:rFonts w:hint="eastAsia" w:ascii="新宋体" w:hAnsi="新宋体" w:eastAsia="新宋体" w:cs="新宋体"/>
          <w:color w:val="auto"/>
          <w:sz w:val="22"/>
          <w:szCs w:val="22"/>
          <w:highlight w:val="none"/>
        </w:rPr>
      </w:pPr>
    </w:p>
    <w:p w14:paraId="643F7113">
      <w:pPr>
        <w:pStyle w:val="2"/>
        <w:ind w:firstLine="200"/>
        <w:rPr>
          <w:rFonts w:hint="eastAsia" w:ascii="新宋体" w:hAnsi="新宋体" w:eastAsia="新宋体"/>
          <w:color w:val="auto"/>
          <w:highlight w:val="none"/>
        </w:rPr>
      </w:pPr>
    </w:p>
    <w:p w14:paraId="70E1D77E">
      <w:pPr>
        <w:tabs>
          <w:tab w:val="left" w:pos="640"/>
        </w:tabs>
        <w:spacing w:line="440" w:lineRule="exact"/>
        <w:rPr>
          <w:rFonts w:hint="eastAsia" w:ascii="新宋体" w:hAnsi="新宋体" w:eastAsia="新宋体" w:cs="新宋体"/>
          <w:color w:val="auto"/>
          <w:spacing w:val="6"/>
          <w:sz w:val="22"/>
          <w:szCs w:val="22"/>
          <w:highlight w:val="none"/>
        </w:rPr>
      </w:pPr>
    </w:p>
    <w:p w14:paraId="2314E4B3">
      <w:pPr>
        <w:pStyle w:val="4"/>
        <w:rPr>
          <w:rFonts w:hint="eastAsia" w:ascii="新宋体" w:hAnsi="新宋体" w:eastAsia="新宋体" w:cs="新宋体"/>
          <w:color w:val="auto"/>
          <w:sz w:val="36"/>
          <w:szCs w:val="36"/>
          <w:highlight w:val="none"/>
        </w:rPr>
      </w:pPr>
      <w:r>
        <w:rPr>
          <w:rFonts w:hint="eastAsia" w:ascii="新宋体" w:hAnsi="新宋体" w:eastAsia="新宋体" w:cs="新宋体"/>
          <w:color w:val="auto"/>
          <w:sz w:val="22"/>
          <w:szCs w:val="22"/>
          <w:highlight w:val="none"/>
        </w:rPr>
        <w:br w:type="page"/>
      </w:r>
      <w:bookmarkStart w:id="88" w:name="_Toc239145357"/>
      <w:bookmarkStart w:id="89" w:name="_Toc241404205"/>
      <w:bookmarkStart w:id="90" w:name="_Toc221423622"/>
      <w:bookmarkStart w:id="91" w:name="_Toc265529386"/>
      <w:bookmarkStart w:id="92" w:name="_Toc221356954"/>
      <w:bookmarkStart w:id="93" w:name="_Toc223716001"/>
      <w:bookmarkStart w:id="94" w:name="_Toc222114882"/>
      <w:bookmarkStart w:id="95" w:name="_Toc221356890"/>
      <w:bookmarkStart w:id="96" w:name="_Toc221374629"/>
      <w:bookmarkStart w:id="97" w:name="_Toc23955"/>
      <w:bookmarkStart w:id="98" w:name="_Toc71374678"/>
      <w:r>
        <w:rPr>
          <w:rFonts w:hint="eastAsia" w:ascii="新宋体" w:hAnsi="新宋体" w:eastAsia="新宋体" w:cs="新宋体"/>
          <w:color w:val="auto"/>
          <w:sz w:val="36"/>
          <w:szCs w:val="36"/>
          <w:highlight w:val="none"/>
        </w:rPr>
        <w:t xml:space="preserve">第二部分   </w:t>
      </w:r>
      <w:bookmarkEnd w:id="88"/>
      <w:bookmarkEnd w:id="89"/>
      <w:bookmarkEnd w:id="90"/>
      <w:bookmarkEnd w:id="91"/>
      <w:bookmarkEnd w:id="92"/>
      <w:bookmarkEnd w:id="93"/>
      <w:bookmarkEnd w:id="94"/>
      <w:bookmarkEnd w:id="95"/>
      <w:bookmarkEnd w:id="96"/>
      <w:r>
        <w:rPr>
          <w:rFonts w:hint="eastAsia" w:ascii="新宋体" w:hAnsi="新宋体" w:eastAsia="新宋体" w:cs="新宋体"/>
          <w:color w:val="auto"/>
          <w:sz w:val="36"/>
          <w:szCs w:val="36"/>
          <w:highlight w:val="none"/>
        </w:rPr>
        <w:t>合同格式</w:t>
      </w:r>
      <w:bookmarkEnd w:id="97"/>
      <w:bookmarkEnd w:id="98"/>
    </w:p>
    <w:p w14:paraId="5666BCA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微软雅黑" w:hAnsi="宋体"/>
          <w:color w:val="auto"/>
          <w:kern w:val="0"/>
          <w:sz w:val="22"/>
          <w:szCs w:val="22"/>
          <w:highlight w:val="none"/>
          <w:lang w:val="en-US" w:eastAsia="zh-CN"/>
        </w:rPr>
      </w:pPr>
      <w:bookmarkStart w:id="99" w:name="_Toc71374679"/>
    </w:p>
    <w:p w14:paraId="3D5F7E4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auto"/>
          <w:kern w:val="1"/>
          <w:sz w:val="44"/>
          <w:highlight w:val="none"/>
        </w:rPr>
      </w:pPr>
      <w:r>
        <w:rPr>
          <w:rFonts w:hint="eastAsia" w:ascii="微软雅黑" w:hAnsi="宋体"/>
          <w:color w:val="auto"/>
          <w:kern w:val="0"/>
          <w:sz w:val="22"/>
          <w:szCs w:val="22"/>
          <w:highlight w:val="none"/>
          <w:lang w:val="en-US" w:eastAsia="zh-CN"/>
        </w:rPr>
        <w:t>特别</w:t>
      </w:r>
      <w:r>
        <w:rPr>
          <w:rFonts w:hint="eastAsia" w:ascii="微软雅黑" w:hAnsi="宋体"/>
          <w:color w:val="auto"/>
          <w:kern w:val="0"/>
          <w:sz w:val="22"/>
          <w:szCs w:val="22"/>
          <w:highlight w:val="none"/>
        </w:rPr>
        <w:t>说明：本合同</w:t>
      </w:r>
      <w:r>
        <w:rPr>
          <w:rFonts w:hint="eastAsia" w:ascii="微软雅黑" w:hAnsi="宋体"/>
          <w:color w:val="auto"/>
          <w:kern w:val="0"/>
          <w:sz w:val="22"/>
          <w:szCs w:val="22"/>
          <w:highlight w:val="none"/>
          <w:lang w:val="en-US" w:eastAsia="zh-CN"/>
        </w:rPr>
        <w:t>由双方</w:t>
      </w:r>
      <w:r>
        <w:rPr>
          <w:rFonts w:hint="eastAsia" w:ascii="微软雅黑" w:hAnsi="宋体"/>
          <w:color w:val="auto"/>
          <w:kern w:val="0"/>
          <w:sz w:val="22"/>
          <w:szCs w:val="22"/>
          <w:highlight w:val="none"/>
        </w:rPr>
        <w:t>依据《中华人民共和国民法典》签订，以下部分条款不一定和最终</w:t>
      </w:r>
      <w:r>
        <w:rPr>
          <w:rFonts w:hint="eastAsia" w:ascii="微软雅黑" w:hAnsi="宋体"/>
          <w:color w:val="auto"/>
          <w:kern w:val="0"/>
          <w:sz w:val="22"/>
          <w:szCs w:val="22"/>
          <w:highlight w:val="none"/>
          <w:lang w:val="en-US" w:eastAsia="zh-CN"/>
        </w:rPr>
        <w:t>签订的</w:t>
      </w:r>
      <w:r>
        <w:rPr>
          <w:rFonts w:hint="eastAsia" w:ascii="微软雅黑" w:hAnsi="宋体"/>
          <w:color w:val="auto"/>
          <w:kern w:val="0"/>
          <w:sz w:val="22"/>
          <w:szCs w:val="22"/>
          <w:highlight w:val="none"/>
        </w:rPr>
        <w:t>合同条款内容完全一致，采购人有权进行适当调整</w:t>
      </w:r>
      <w:r>
        <w:rPr>
          <w:rFonts w:hint="eastAsia" w:ascii="微软雅黑" w:hAnsi="宋体"/>
          <w:color w:val="auto"/>
          <w:kern w:val="0"/>
          <w:sz w:val="22"/>
          <w:szCs w:val="22"/>
          <w:highlight w:val="none"/>
          <w:lang w:eastAsia="zh-CN"/>
        </w:rPr>
        <w:t>，</w:t>
      </w:r>
      <w:r>
        <w:rPr>
          <w:rFonts w:hint="eastAsia" w:ascii="微软雅黑" w:hAnsi="宋体"/>
          <w:color w:val="auto"/>
          <w:kern w:val="0"/>
          <w:sz w:val="22"/>
          <w:szCs w:val="22"/>
          <w:highlight w:val="none"/>
        </w:rPr>
        <w:t>但</w:t>
      </w:r>
      <w:r>
        <w:rPr>
          <w:rFonts w:hint="eastAsia" w:ascii="微软雅黑" w:hAnsi="宋体"/>
          <w:color w:val="auto"/>
          <w:kern w:val="0"/>
          <w:sz w:val="22"/>
          <w:szCs w:val="22"/>
          <w:highlight w:val="none"/>
          <w:lang w:val="en-US" w:eastAsia="zh-CN"/>
        </w:rPr>
        <w:t>采购人亦承诺</w:t>
      </w:r>
      <w:r>
        <w:rPr>
          <w:rFonts w:hint="eastAsia" w:ascii="微软雅黑" w:hAnsi="宋体"/>
          <w:color w:val="auto"/>
          <w:kern w:val="0"/>
          <w:sz w:val="22"/>
          <w:szCs w:val="22"/>
          <w:highlight w:val="none"/>
        </w:rPr>
        <w:t>不</w:t>
      </w:r>
      <w:r>
        <w:rPr>
          <w:rFonts w:hint="eastAsia" w:ascii="微软雅黑" w:hAnsi="宋体"/>
          <w:color w:val="auto"/>
          <w:kern w:val="0"/>
          <w:sz w:val="22"/>
          <w:szCs w:val="22"/>
          <w:highlight w:val="none"/>
          <w:lang w:val="en-US" w:eastAsia="zh-CN"/>
        </w:rPr>
        <w:t>会</w:t>
      </w:r>
      <w:r>
        <w:rPr>
          <w:rFonts w:hint="eastAsia" w:ascii="微软雅黑" w:hAnsi="宋体"/>
          <w:color w:val="auto"/>
          <w:kern w:val="0"/>
          <w:sz w:val="22"/>
          <w:szCs w:val="22"/>
          <w:highlight w:val="none"/>
        </w:rPr>
        <w:t>与</w:t>
      </w:r>
      <w:r>
        <w:rPr>
          <w:rFonts w:hint="eastAsia" w:ascii="微软雅黑" w:hAnsi="宋体"/>
          <w:color w:val="auto"/>
          <w:kern w:val="0"/>
          <w:sz w:val="22"/>
          <w:szCs w:val="22"/>
          <w:highlight w:val="none"/>
          <w:lang w:val="en-US" w:eastAsia="zh-CN"/>
        </w:rPr>
        <w:t>采购文件主要条款</w:t>
      </w:r>
      <w:r>
        <w:rPr>
          <w:rFonts w:hint="eastAsia" w:ascii="微软雅黑" w:hAnsi="宋体"/>
          <w:color w:val="auto"/>
          <w:kern w:val="0"/>
          <w:sz w:val="22"/>
          <w:szCs w:val="22"/>
          <w:highlight w:val="none"/>
        </w:rPr>
        <w:t>相悖。</w:t>
      </w:r>
    </w:p>
    <w:p w14:paraId="51400F7C">
      <w:pPr>
        <w:spacing w:line="312" w:lineRule="auto"/>
        <w:ind w:firstLine="440" w:firstLineChars="200"/>
        <w:rPr>
          <w:rFonts w:hint="eastAsia" w:ascii="微软雅黑" w:hAnsi="宋体"/>
          <w:color w:val="auto"/>
          <w:kern w:val="0"/>
          <w:sz w:val="22"/>
          <w:szCs w:val="22"/>
          <w:highlight w:val="none"/>
        </w:rPr>
      </w:pPr>
    </w:p>
    <w:p w14:paraId="1A1424E6">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新宋体"/>
          <w:color w:val="auto"/>
          <w:sz w:val="22"/>
          <w:szCs w:val="22"/>
          <w:highlight w:val="none"/>
        </w:rPr>
      </w:pPr>
      <w:bookmarkStart w:id="100" w:name="_Toc351203652"/>
      <w:r>
        <w:rPr>
          <w:rFonts w:hint="eastAsia" w:ascii="新宋体" w:hAnsi="新宋体" w:eastAsia="新宋体" w:cs="新宋体"/>
          <w:color w:val="auto"/>
          <w:sz w:val="22"/>
          <w:szCs w:val="22"/>
          <w:highlight w:val="none"/>
        </w:rPr>
        <w:t>甲方：</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（采购人）</w:t>
      </w:r>
    </w:p>
    <w:p w14:paraId="10D8D64D">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乙方: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（中标</w:t>
      </w:r>
      <w:r>
        <w:rPr>
          <w:rFonts w:hint="eastAsia" w:ascii="新宋体" w:hAnsi="新宋体" w:eastAsia="新宋体" w:cs="新宋体"/>
          <w:color w:val="auto"/>
          <w:sz w:val="22"/>
          <w:szCs w:val="22"/>
          <w:highlight w:val="none"/>
          <w:lang w:val="en-US" w:eastAsia="zh-CN"/>
        </w:rPr>
        <w:t>供应商</w:t>
      </w:r>
      <w:r>
        <w:rPr>
          <w:rFonts w:hint="eastAsia" w:ascii="新宋体" w:hAnsi="新宋体" w:eastAsia="新宋体" w:cs="新宋体"/>
          <w:color w:val="auto"/>
          <w:sz w:val="22"/>
          <w:szCs w:val="22"/>
          <w:highlight w:val="none"/>
        </w:rPr>
        <w:t>）</w:t>
      </w:r>
    </w:p>
    <w:p w14:paraId="3206002D">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eastAsia="新宋体"/>
          <w:color w:val="auto"/>
          <w:highlight w:val="none"/>
        </w:rPr>
      </w:pPr>
      <w:r>
        <w:rPr>
          <w:rFonts w:hint="eastAsia" w:ascii="新宋体" w:hAnsi="新宋体" w:eastAsia="新宋体" w:cs="新宋体"/>
          <w:color w:val="auto"/>
          <w:sz w:val="22"/>
          <w:szCs w:val="22"/>
          <w:highlight w:val="none"/>
        </w:rPr>
        <w:t>合同签订地点：</w:t>
      </w:r>
      <w:r>
        <w:rPr>
          <w:rFonts w:hint="eastAsia" w:ascii="新宋体" w:hAnsi="新宋体" w:eastAsia="新宋体" w:cs="新宋体"/>
          <w:color w:val="auto"/>
          <w:sz w:val="22"/>
          <w:szCs w:val="22"/>
          <w:highlight w:val="none"/>
          <w:u w:val="single"/>
        </w:rPr>
        <w:t xml:space="preserve">       ；</w:t>
      </w:r>
    </w:p>
    <w:p w14:paraId="1E00CDCC">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浙江东方职业技术学院的</w:t>
      </w:r>
      <w:r>
        <w:rPr>
          <w:rFonts w:hint="eastAsia" w:ascii="新宋体" w:hAnsi="新宋体" w:eastAsia="新宋体" w:cs="新宋体"/>
          <w:bCs/>
          <w:color w:val="auto"/>
          <w:sz w:val="22"/>
          <w:szCs w:val="22"/>
          <w:highlight w:val="none"/>
          <w:u w:val="single"/>
        </w:rPr>
        <w:t xml:space="preserve">               </w:t>
      </w:r>
      <w:r>
        <w:rPr>
          <w:rFonts w:hint="eastAsia" w:ascii="新宋体" w:hAnsi="新宋体" w:eastAsia="新宋体" w:cs="新宋体"/>
          <w:bCs/>
          <w:color w:val="auto"/>
          <w:sz w:val="22"/>
          <w:szCs w:val="22"/>
          <w:highlight w:val="none"/>
        </w:rPr>
        <w:t>（项目名称、编号）在国内以公开招标方式进行采购，经评标委员会评定</w:t>
      </w:r>
      <w:r>
        <w:rPr>
          <w:rFonts w:hint="eastAsia" w:ascii="新宋体" w:hAnsi="新宋体" w:eastAsia="新宋体" w:cs="新宋体"/>
          <w:bCs/>
          <w:color w:val="auto"/>
          <w:sz w:val="22"/>
          <w:szCs w:val="22"/>
          <w:highlight w:val="none"/>
          <w:u w:val="single"/>
        </w:rPr>
        <w:t xml:space="preserve">                 </w:t>
      </w:r>
      <w:r>
        <w:rPr>
          <w:rFonts w:hint="eastAsia" w:ascii="新宋体" w:hAnsi="新宋体" w:eastAsia="新宋体" w:cs="新宋体"/>
          <w:bCs/>
          <w:color w:val="auto"/>
          <w:sz w:val="22"/>
          <w:szCs w:val="22"/>
          <w:highlight w:val="none"/>
        </w:rPr>
        <w:t>（</w:t>
      </w:r>
      <w:r>
        <w:rPr>
          <w:rFonts w:hint="eastAsia" w:ascii="新宋体" w:hAnsi="新宋体" w:eastAsia="新宋体" w:cs="新宋体"/>
          <w:bCs/>
          <w:color w:val="auto"/>
          <w:sz w:val="22"/>
          <w:szCs w:val="22"/>
          <w:highlight w:val="none"/>
          <w:lang w:eastAsia="zh-CN"/>
        </w:rPr>
        <w:t>中标供应商</w:t>
      </w:r>
      <w:r>
        <w:rPr>
          <w:rFonts w:hint="eastAsia" w:ascii="新宋体" w:hAnsi="新宋体" w:eastAsia="新宋体" w:cs="新宋体"/>
          <w:bCs/>
          <w:color w:val="auto"/>
          <w:sz w:val="22"/>
          <w:szCs w:val="22"/>
          <w:highlight w:val="none"/>
        </w:rPr>
        <w:t>名称）为</w:t>
      </w:r>
      <w:r>
        <w:rPr>
          <w:rFonts w:hint="eastAsia" w:ascii="新宋体" w:hAnsi="新宋体" w:eastAsia="新宋体" w:cs="新宋体"/>
          <w:bCs/>
          <w:color w:val="auto"/>
          <w:sz w:val="22"/>
          <w:szCs w:val="22"/>
          <w:highlight w:val="none"/>
          <w:lang w:eastAsia="zh-CN"/>
        </w:rPr>
        <w:t>中标供应商</w:t>
      </w:r>
      <w:r>
        <w:rPr>
          <w:rFonts w:hint="eastAsia" w:ascii="新宋体" w:hAnsi="新宋体" w:eastAsia="新宋体" w:cs="新宋体"/>
          <w:bCs/>
          <w:color w:val="auto"/>
          <w:sz w:val="22"/>
          <w:szCs w:val="22"/>
          <w:highlight w:val="none"/>
        </w:rPr>
        <w:t>。双方本着诚信及互利互惠的原则，同意按照下面条款和条件，签署本合同。</w:t>
      </w:r>
    </w:p>
    <w:p w14:paraId="3403EBAD">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一、本合同签订依据</w:t>
      </w:r>
    </w:p>
    <w:p w14:paraId="314BD934">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《中华人民共和国民法典》</w:t>
      </w:r>
    </w:p>
    <w:p w14:paraId="5A1630B2">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二、合同文件的优先次序</w:t>
      </w:r>
    </w:p>
    <w:p w14:paraId="2337EE65">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合同文件如存在歧义或不一致则根据以下优先次序来判断：</w:t>
      </w:r>
    </w:p>
    <w:p w14:paraId="676676FA">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eastAsia="zh-CN"/>
        </w:rPr>
        <w:t>1.</w:t>
      </w:r>
      <w:r>
        <w:rPr>
          <w:rFonts w:hint="eastAsia" w:ascii="新宋体" w:hAnsi="新宋体" w:eastAsia="新宋体" w:cs="新宋体"/>
          <w:bCs/>
          <w:color w:val="auto"/>
          <w:sz w:val="22"/>
          <w:szCs w:val="22"/>
          <w:highlight w:val="none"/>
        </w:rPr>
        <w:t xml:space="preserve">合同书及合同补充条款或说明 </w:t>
      </w:r>
    </w:p>
    <w:p w14:paraId="27B012E0">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eastAsia="zh-CN"/>
        </w:rPr>
        <w:t>2.</w:t>
      </w:r>
      <w:r>
        <w:rPr>
          <w:rFonts w:hint="eastAsia" w:ascii="新宋体" w:hAnsi="新宋体" w:eastAsia="新宋体" w:cs="新宋体"/>
          <w:bCs/>
          <w:color w:val="auto"/>
          <w:sz w:val="22"/>
          <w:szCs w:val="22"/>
          <w:highlight w:val="none"/>
        </w:rPr>
        <w:t>中标通知书</w:t>
      </w:r>
    </w:p>
    <w:p w14:paraId="6E177758">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eastAsia="zh-CN"/>
        </w:rPr>
        <w:t>3.</w:t>
      </w:r>
      <w:r>
        <w:rPr>
          <w:rFonts w:hint="eastAsia" w:ascii="新宋体" w:hAnsi="新宋体" w:eastAsia="新宋体" w:cs="新宋体"/>
          <w:bCs/>
          <w:color w:val="auto"/>
          <w:sz w:val="22"/>
          <w:szCs w:val="22"/>
          <w:highlight w:val="none"/>
        </w:rPr>
        <w:t>承诺书（含询标记录和优惠条款）</w:t>
      </w:r>
    </w:p>
    <w:p w14:paraId="2735CF0C">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eastAsia="zh-CN"/>
        </w:rPr>
        <w:t>4.</w:t>
      </w:r>
      <w:r>
        <w:rPr>
          <w:rFonts w:hint="eastAsia" w:ascii="新宋体" w:hAnsi="新宋体" w:eastAsia="新宋体" w:cs="新宋体"/>
          <w:bCs/>
          <w:color w:val="auto"/>
          <w:sz w:val="22"/>
          <w:szCs w:val="22"/>
          <w:highlight w:val="none"/>
        </w:rPr>
        <w:t>采购文件</w:t>
      </w:r>
    </w:p>
    <w:p w14:paraId="41376C7A">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eastAsia="zh-CN"/>
        </w:rPr>
        <w:t>5.</w:t>
      </w:r>
      <w:r>
        <w:rPr>
          <w:rFonts w:hint="eastAsia" w:ascii="新宋体" w:hAnsi="新宋体" w:eastAsia="新宋体" w:cs="新宋体"/>
          <w:bCs/>
          <w:color w:val="auto"/>
          <w:sz w:val="22"/>
          <w:szCs w:val="22"/>
          <w:highlight w:val="none"/>
        </w:rPr>
        <w:t>投标文件</w:t>
      </w:r>
    </w:p>
    <w:p w14:paraId="625B1913">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三、采购内容</w:t>
      </w:r>
    </w:p>
    <w:p w14:paraId="232517AB">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eastAsia="zh-CN"/>
        </w:rPr>
        <w:t>1.</w:t>
      </w:r>
      <w:r>
        <w:rPr>
          <w:rFonts w:hint="eastAsia" w:ascii="新宋体" w:hAnsi="新宋体" w:eastAsia="新宋体" w:cs="新宋体"/>
          <w:bCs/>
          <w:color w:val="auto"/>
          <w:sz w:val="22"/>
          <w:szCs w:val="22"/>
          <w:highlight w:val="none"/>
        </w:rPr>
        <w:t>产品名称、规格及数量</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16"/>
        <w:gridCol w:w="1519"/>
        <w:gridCol w:w="1676"/>
        <w:gridCol w:w="1065"/>
        <w:gridCol w:w="1065"/>
        <w:gridCol w:w="1065"/>
        <w:gridCol w:w="1065"/>
      </w:tblGrid>
      <w:tr w14:paraId="77B6B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14:paraId="3A0D7587">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r>
              <w:rPr>
                <w:rFonts w:hint="eastAsia" w:hAnsi="宋体"/>
                <w:color w:val="auto"/>
                <w:szCs w:val="21"/>
                <w:highlight w:val="none"/>
              </w:rPr>
              <w:t>序号</w:t>
            </w:r>
          </w:p>
        </w:tc>
        <w:tc>
          <w:tcPr>
            <w:tcW w:w="1416" w:type="dxa"/>
            <w:noWrap w:val="0"/>
            <w:vAlign w:val="top"/>
          </w:tcPr>
          <w:p w14:paraId="331C77D8">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r>
              <w:rPr>
                <w:rFonts w:hint="eastAsia" w:hAnsi="宋体"/>
                <w:color w:val="auto"/>
                <w:szCs w:val="21"/>
                <w:highlight w:val="none"/>
              </w:rPr>
              <w:t>产品名称</w:t>
            </w:r>
          </w:p>
        </w:tc>
        <w:tc>
          <w:tcPr>
            <w:tcW w:w="1519" w:type="dxa"/>
            <w:noWrap w:val="0"/>
            <w:vAlign w:val="center"/>
          </w:tcPr>
          <w:p w14:paraId="34DBF0B2">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r>
              <w:rPr>
                <w:rFonts w:hint="eastAsia" w:hAnsi="宋体"/>
                <w:color w:val="auto"/>
                <w:szCs w:val="21"/>
                <w:highlight w:val="none"/>
              </w:rPr>
              <w:t>品牌/产地</w:t>
            </w:r>
          </w:p>
        </w:tc>
        <w:tc>
          <w:tcPr>
            <w:tcW w:w="1676" w:type="dxa"/>
            <w:noWrap w:val="0"/>
            <w:vAlign w:val="center"/>
          </w:tcPr>
          <w:p w14:paraId="4ECDDC51">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r>
              <w:rPr>
                <w:rFonts w:hint="eastAsia" w:hAnsi="宋体"/>
                <w:color w:val="auto"/>
                <w:szCs w:val="21"/>
                <w:highlight w:val="none"/>
              </w:rPr>
              <w:t>型号/规格</w:t>
            </w:r>
          </w:p>
        </w:tc>
        <w:tc>
          <w:tcPr>
            <w:tcW w:w="1065" w:type="dxa"/>
            <w:noWrap w:val="0"/>
            <w:vAlign w:val="top"/>
          </w:tcPr>
          <w:p w14:paraId="3150FD45">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r>
              <w:rPr>
                <w:rFonts w:hint="eastAsia" w:hAnsi="宋体"/>
                <w:color w:val="auto"/>
                <w:szCs w:val="21"/>
                <w:highlight w:val="none"/>
              </w:rPr>
              <w:t>数量</w:t>
            </w:r>
          </w:p>
        </w:tc>
        <w:tc>
          <w:tcPr>
            <w:tcW w:w="1065" w:type="dxa"/>
            <w:noWrap w:val="0"/>
            <w:vAlign w:val="top"/>
          </w:tcPr>
          <w:p w14:paraId="1FBD855F">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r>
              <w:rPr>
                <w:rFonts w:hint="eastAsia" w:hAnsi="宋体"/>
                <w:color w:val="auto"/>
                <w:szCs w:val="21"/>
                <w:highlight w:val="none"/>
              </w:rPr>
              <w:t>单价（元）</w:t>
            </w:r>
          </w:p>
        </w:tc>
        <w:tc>
          <w:tcPr>
            <w:tcW w:w="1065" w:type="dxa"/>
            <w:noWrap w:val="0"/>
            <w:vAlign w:val="top"/>
          </w:tcPr>
          <w:p w14:paraId="5421F124">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r>
              <w:rPr>
                <w:rFonts w:hint="eastAsia" w:hAnsi="宋体"/>
                <w:color w:val="auto"/>
                <w:szCs w:val="21"/>
                <w:highlight w:val="none"/>
              </w:rPr>
              <w:t>总价（元）</w:t>
            </w:r>
          </w:p>
        </w:tc>
        <w:tc>
          <w:tcPr>
            <w:tcW w:w="1065" w:type="dxa"/>
            <w:noWrap w:val="0"/>
            <w:vAlign w:val="top"/>
          </w:tcPr>
          <w:p w14:paraId="03F60134">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r>
              <w:rPr>
                <w:rFonts w:hint="eastAsia" w:hAnsi="宋体"/>
                <w:color w:val="auto"/>
                <w:szCs w:val="21"/>
                <w:highlight w:val="none"/>
              </w:rPr>
              <w:t>备注</w:t>
            </w:r>
          </w:p>
        </w:tc>
      </w:tr>
      <w:tr w14:paraId="725E6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14:paraId="72341B1A">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416" w:type="dxa"/>
            <w:noWrap w:val="0"/>
            <w:vAlign w:val="top"/>
          </w:tcPr>
          <w:p w14:paraId="234A384A">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519" w:type="dxa"/>
            <w:noWrap w:val="0"/>
            <w:vAlign w:val="top"/>
          </w:tcPr>
          <w:p w14:paraId="5E009725">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676" w:type="dxa"/>
            <w:noWrap w:val="0"/>
            <w:vAlign w:val="top"/>
          </w:tcPr>
          <w:p w14:paraId="4BAD2C5A">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065" w:type="dxa"/>
            <w:noWrap w:val="0"/>
            <w:vAlign w:val="top"/>
          </w:tcPr>
          <w:p w14:paraId="76CD53E0">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065" w:type="dxa"/>
            <w:noWrap w:val="0"/>
            <w:vAlign w:val="top"/>
          </w:tcPr>
          <w:p w14:paraId="34CAEC73">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065" w:type="dxa"/>
            <w:noWrap w:val="0"/>
            <w:vAlign w:val="top"/>
          </w:tcPr>
          <w:p w14:paraId="534E3A46">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065" w:type="dxa"/>
            <w:noWrap w:val="0"/>
            <w:vAlign w:val="top"/>
          </w:tcPr>
          <w:p w14:paraId="5C68EEA3">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r>
      <w:tr w14:paraId="7F7CC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14:paraId="7379548A">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416" w:type="dxa"/>
            <w:noWrap w:val="0"/>
            <w:vAlign w:val="top"/>
          </w:tcPr>
          <w:p w14:paraId="4FE483BF">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519" w:type="dxa"/>
            <w:noWrap w:val="0"/>
            <w:vAlign w:val="top"/>
          </w:tcPr>
          <w:p w14:paraId="02CBA539">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676" w:type="dxa"/>
            <w:noWrap w:val="0"/>
            <w:vAlign w:val="top"/>
          </w:tcPr>
          <w:p w14:paraId="14BE4FF4">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065" w:type="dxa"/>
            <w:noWrap w:val="0"/>
            <w:vAlign w:val="top"/>
          </w:tcPr>
          <w:p w14:paraId="7E0FD16A">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065" w:type="dxa"/>
            <w:noWrap w:val="0"/>
            <w:vAlign w:val="top"/>
          </w:tcPr>
          <w:p w14:paraId="534484FB">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065" w:type="dxa"/>
            <w:noWrap w:val="0"/>
            <w:vAlign w:val="top"/>
          </w:tcPr>
          <w:p w14:paraId="6481CE24">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065" w:type="dxa"/>
            <w:noWrap w:val="0"/>
            <w:vAlign w:val="top"/>
          </w:tcPr>
          <w:p w14:paraId="3EA28431">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r>
      <w:tr w14:paraId="752B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14:paraId="7134D63D">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416" w:type="dxa"/>
            <w:noWrap w:val="0"/>
            <w:vAlign w:val="top"/>
          </w:tcPr>
          <w:p w14:paraId="1D8E71FE">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519" w:type="dxa"/>
            <w:noWrap w:val="0"/>
            <w:vAlign w:val="top"/>
          </w:tcPr>
          <w:p w14:paraId="184926AF">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676" w:type="dxa"/>
            <w:noWrap w:val="0"/>
            <w:vAlign w:val="top"/>
          </w:tcPr>
          <w:p w14:paraId="6CB81218">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065" w:type="dxa"/>
            <w:noWrap w:val="0"/>
            <w:vAlign w:val="top"/>
          </w:tcPr>
          <w:p w14:paraId="5C5AA462">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065" w:type="dxa"/>
            <w:noWrap w:val="0"/>
            <w:vAlign w:val="top"/>
          </w:tcPr>
          <w:p w14:paraId="3B49EC8F">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065" w:type="dxa"/>
            <w:noWrap w:val="0"/>
            <w:vAlign w:val="top"/>
          </w:tcPr>
          <w:p w14:paraId="0B7B80C2">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065" w:type="dxa"/>
            <w:noWrap w:val="0"/>
            <w:vAlign w:val="top"/>
          </w:tcPr>
          <w:p w14:paraId="2E93B405">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r>
      <w:tr w14:paraId="15613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7" w:type="dxa"/>
            <w:gridSpan w:val="6"/>
            <w:noWrap w:val="0"/>
            <w:vAlign w:val="top"/>
          </w:tcPr>
          <w:p w14:paraId="32BBABCD">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r>
              <w:rPr>
                <w:rFonts w:hint="eastAsia" w:hAnsi="宋体"/>
                <w:color w:val="auto"/>
                <w:szCs w:val="21"/>
                <w:highlight w:val="none"/>
              </w:rPr>
              <w:t>合计：</w:t>
            </w:r>
          </w:p>
        </w:tc>
        <w:tc>
          <w:tcPr>
            <w:tcW w:w="1065" w:type="dxa"/>
            <w:noWrap w:val="0"/>
            <w:vAlign w:val="top"/>
          </w:tcPr>
          <w:p w14:paraId="18B6A40B">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c>
          <w:tcPr>
            <w:tcW w:w="1065" w:type="dxa"/>
            <w:noWrap w:val="0"/>
            <w:vAlign w:val="top"/>
          </w:tcPr>
          <w:p w14:paraId="7C8875D7">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p>
        </w:tc>
      </w:tr>
      <w:tr w14:paraId="3CF4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7" w:type="dxa"/>
            <w:gridSpan w:val="8"/>
            <w:noWrap w:val="0"/>
            <w:vAlign w:val="top"/>
          </w:tcPr>
          <w:p w14:paraId="144FE4C3">
            <w:pPr>
              <w:keepNext w:val="0"/>
              <w:keepLines w:val="0"/>
              <w:pageBreakBefore w:val="0"/>
              <w:shd w:val="clear" w:color="auto" w:fill="auto"/>
              <w:kinsoku/>
              <w:wordWrap/>
              <w:overflowPunct/>
              <w:topLinePunct w:val="0"/>
              <w:autoSpaceDE/>
              <w:autoSpaceDN/>
              <w:bidi w:val="0"/>
              <w:adjustRightInd/>
              <w:snapToGrid/>
              <w:spacing w:line="360" w:lineRule="auto"/>
              <w:textAlignment w:val="auto"/>
              <w:rPr>
                <w:rFonts w:hint="eastAsia" w:hAnsi="宋体"/>
                <w:color w:val="auto"/>
                <w:szCs w:val="21"/>
                <w:highlight w:val="none"/>
              </w:rPr>
            </w:pPr>
            <w:r>
              <w:rPr>
                <w:rFonts w:hint="eastAsia" w:hAnsi="宋体"/>
                <w:color w:val="auto"/>
                <w:szCs w:val="21"/>
                <w:highlight w:val="none"/>
              </w:rPr>
              <w:t>合同总价：（人民币大写）：                              小写：</w:t>
            </w:r>
          </w:p>
        </w:tc>
      </w:tr>
    </w:tbl>
    <w:p w14:paraId="35AC1DED">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注：以上合同总价包括完成所有产品供货及履行所有规定服务所产生的全部费用，型号规格材质在清单中未标明的，以投标文件、采购文件标注的为准。</w:t>
      </w:r>
    </w:p>
    <w:p w14:paraId="0FB95F55">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eastAsia="zh-CN"/>
        </w:rPr>
        <w:t>2.</w:t>
      </w:r>
      <w:r>
        <w:rPr>
          <w:rFonts w:hint="eastAsia" w:ascii="新宋体" w:hAnsi="新宋体" w:eastAsia="新宋体" w:cs="新宋体"/>
          <w:bCs/>
          <w:color w:val="auto"/>
          <w:sz w:val="22"/>
          <w:szCs w:val="22"/>
          <w:highlight w:val="none"/>
        </w:rPr>
        <w:t>标准和计量单位</w:t>
      </w:r>
    </w:p>
    <w:p w14:paraId="6018F656">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（1）本合同项下交付的货物应符合技术规格所述的标准。如在采购文件中无相应说明，则以国家颁布的最新版本标准或行业（部）标准或相应的国际标准执行，没有国家或行业（部）标准的则按企业标准执行。</w:t>
      </w:r>
    </w:p>
    <w:p w14:paraId="5D113039">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（2） 除非技术规格中另有规定，计量单位均采用中华人民共和国法定计量单位。</w:t>
      </w:r>
    </w:p>
    <w:p w14:paraId="7768A345">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eastAsia="zh-CN"/>
        </w:rPr>
        <w:t>3.</w:t>
      </w:r>
      <w:r>
        <w:rPr>
          <w:rFonts w:hint="eastAsia" w:ascii="新宋体" w:hAnsi="新宋体" w:eastAsia="新宋体" w:cs="新宋体"/>
          <w:bCs/>
          <w:color w:val="auto"/>
          <w:sz w:val="22"/>
          <w:szCs w:val="22"/>
          <w:highlight w:val="none"/>
        </w:rPr>
        <w:t>专利权</w:t>
      </w:r>
    </w:p>
    <w:p w14:paraId="1B6D65DD">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乙方应保证，甲方在使用该货物或货物的任何一部分时，免受第三方提出的侵犯其专利权、商标权、著作权或其它知识产权的起诉。乙方应承担由此可能产生的一切法律责任和费用。</w:t>
      </w:r>
    </w:p>
    <w:p w14:paraId="373F6D62">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四、交货</w:t>
      </w:r>
    </w:p>
    <w:p w14:paraId="1CEB265A">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1.</w:t>
      </w:r>
      <w:r>
        <w:rPr>
          <w:rFonts w:hint="eastAsia" w:ascii="新宋体" w:hAnsi="新宋体" w:eastAsia="新宋体"/>
          <w:color w:val="auto"/>
          <w:sz w:val="22"/>
          <w:highlight w:val="none"/>
        </w:rPr>
        <w:t>包装要求</w:t>
      </w:r>
    </w:p>
    <w:p w14:paraId="3C3AA46E">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bookmarkStart w:id="101" w:name="OLE_LINK4"/>
      <w:r>
        <w:rPr>
          <w:rFonts w:hint="eastAsia" w:ascii="新宋体" w:hAnsi="新宋体" w:eastAsia="新宋体"/>
          <w:color w:val="auto"/>
          <w:sz w:val="22"/>
          <w:highlight w:val="none"/>
        </w:rPr>
        <w:t>（1）除合同另有规定外，乙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乙方应承担由于包装或防护措施不妥而引起货物锈蚀、损坏和丢失的任何损失的责任或费用。</w:t>
      </w:r>
    </w:p>
    <w:p w14:paraId="714BF2AB">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（2）每一包装箱内必须附有装箱清单、合格证和齐全的技术资料等。</w:t>
      </w:r>
      <w:bookmarkEnd w:id="101"/>
    </w:p>
    <w:p w14:paraId="0052E52A">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（3）乙方应在每一包装箱的四侧用不褪色的油漆以醒目的中文字样标注“收货人”“货物名称”“小心轻放”、“防潮”、“此端朝上，请勿倒置”等字样和其他国际贸易中使用的适当标志。</w:t>
      </w:r>
    </w:p>
    <w:p w14:paraId="11621975">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2.</w:t>
      </w:r>
      <w:r>
        <w:rPr>
          <w:rFonts w:hint="eastAsia" w:ascii="新宋体" w:hAnsi="新宋体" w:eastAsia="新宋体"/>
          <w:color w:val="auto"/>
          <w:sz w:val="22"/>
          <w:highlight w:val="none"/>
        </w:rPr>
        <w:t>交货方式</w:t>
      </w:r>
    </w:p>
    <w:p w14:paraId="1E9478C1">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（1）现场交货：乙方负责办理运输和保险，将货物运抵甲方指定的现场并落地就位。有关运输和保险的一切费用由乙方承担。所有货物运抵现场的日期为交货日期。</w:t>
      </w:r>
    </w:p>
    <w:p w14:paraId="4E17FB60">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（2）在现场交货条件下，乙方在货物发运前</w:t>
      </w:r>
      <w:r>
        <w:rPr>
          <w:rFonts w:hint="eastAsia" w:ascii="新宋体" w:hAnsi="新宋体" w:eastAsia="新宋体"/>
          <w:color w:val="auto"/>
          <w:sz w:val="22"/>
          <w:highlight w:val="none"/>
          <w:u w:val="single"/>
        </w:rPr>
        <w:t xml:space="preserve">    </w:t>
      </w:r>
      <w:r>
        <w:rPr>
          <w:rFonts w:hint="eastAsia" w:ascii="新宋体" w:hAnsi="新宋体" w:eastAsia="新宋体"/>
          <w:color w:val="auto"/>
          <w:sz w:val="22"/>
          <w:highlight w:val="none"/>
        </w:rPr>
        <w:t>天，将要发运货物的合同号、货物名称、规格、数量、包装箱件数、重量、包装箱尺寸（长×宽×高）和货物的卸车，贮存的特殊要求以及运输工具名称以及启运日期，以传真形式通知甲方。</w:t>
      </w:r>
    </w:p>
    <w:p w14:paraId="23CF62B0">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（3）如因乙方延误将上述内容用传真形式通知甲方，由此引起的一切损失应由乙方承担。</w:t>
      </w:r>
    </w:p>
    <w:p w14:paraId="245C23A2">
      <w:pPr>
        <w:keepNext w:val="0"/>
        <w:keepLines w:val="0"/>
        <w:pageBreakBefore w:val="0"/>
        <w:shd w:val="clear" w:color="auto" w:fill="auto"/>
        <w:kinsoku/>
        <w:wordWrap/>
        <w:overflowPunct/>
        <w:topLinePunct w:val="0"/>
        <w:autoSpaceDE/>
        <w:autoSpaceDN/>
        <w:bidi w:val="0"/>
        <w:adjustRightInd/>
        <w:snapToGrid/>
        <w:spacing w:line="360" w:lineRule="auto"/>
        <w:ind w:firstLine="541" w:firstLineChars="245"/>
        <w:textAlignment w:val="auto"/>
        <w:rPr>
          <w:rFonts w:hint="default" w:ascii="新宋体" w:hAnsi="新宋体" w:eastAsia="新宋体"/>
          <w:b/>
          <w:color w:val="auto"/>
          <w:sz w:val="22"/>
          <w:highlight w:val="none"/>
          <w:lang w:val="en-US" w:eastAsia="zh-CN"/>
        </w:rPr>
      </w:pPr>
      <w:r>
        <w:rPr>
          <w:rFonts w:hint="eastAsia" w:ascii="新宋体" w:hAnsi="新宋体" w:eastAsia="新宋体"/>
          <w:b/>
          <w:color w:val="auto"/>
          <w:sz w:val="22"/>
          <w:highlight w:val="none"/>
          <w:lang w:eastAsia="zh-CN"/>
        </w:rPr>
        <w:t>3.</w:t>
      </w:r>
      <w:r>
        <w:rPr>
          <w:rFonts w:hint="eastAsia" w:ascii="新宋体" w:hAnsi="新宋体" w:eastAsia="新宋体"/>
          <w:b/>
          <w:color w:val="auto"/>
          <w:sz w:val="22"/>
          <w:highlight w:val="none"/>
        </w:rPr>
        <w:t>交付日期：</w:t>
      </w:r>
      <w:r>
        <w:rPr>
          <w:rFonts w:hint="eastAsia" w:ascii="新宋体" w:hAnsi="新宋体" w:eastAsia="新宋体"/>
          <w:b/>
          <w:color w:val="auto"/>
          <w:sz w:val="22"/>
          <w:highlight w:val="none"/>
          <w:lang w:val="en-US" w:eastAsia="zh-CN"/>
        </w:rPr>
        <w:t>合同签订后45个日历天内完成产品交付。</w:t>
      </w:r>
    </w:p>
    <w:p w14:paraId="39D871B8">
      <w:pPr>
        <w:keepNext w:val="0"/>
        <w:keepLines w:val="0"/>
        <w:pageBreakBefore w:val="0"/>
        <w:shd w:val="clear" w:color="auto" w:fill="auto"/>
        <w:kinsoku/>
        <w:wordWrap/>
        <w:overflowPunct/>
        <w:topLinePunct w:val="0"/>
        <w:autoSpaceDE/>
        <w:autoSpaceDN/>
        <w:bidi w:val="0"/>
        <w:adjustRightInd/>
        <w:snapToGrid/>
        <w:spacing w:line="360" w:lineRule="auto"/>
        <w:ind w:firstLine="552" w:firstLineChars="250"/>
        <w:textAlignment w:val="auto"/>
        <w:rPr>
          <w:rFonts w:hint="eastAsia" w:ascii="新宋体" w:hAnsi="新宋体" w:eastAsia="新宋体"/>
          <w:color w:val="auto"/>
          <w:sz w:val="22"/>
          <w:highlight w:val="none"/>
        </w:rPr>
      </w:pPr>
      <w:r>
        <w:rPr>
          <w:rFonts w:hint="eastAsia" w:ascii="新宋体" w:hAnsi="新宋体" w:eastAsia="新宋体"/>
          <w:b/>
          <w:color w:val="auto"/>
          <w:sz w:val="22"/>
          <w:highlight w:val="none"/>
          <w:lang w:eastAsia="zh-CN"/>
        </w:rPr>
        <w:t>4.</w:t>
      </w:r>
      <w:r>
        <w:rPr>
          <w:rFonts w:hint="eastAsia" w:ascii="新宋体" w:hAnsi="新宋体" w:eastAsia="新宋体"/>
          <w:b/>
          <w:color w:val="auto"/>
          <w:sz w:val="22"/>
          <w:highlight w:val="none"/>
        </w:rPr>
        <w:t>交货地点：业主指定地点 。</w:t>
      </w:r>
      <w:r>
        <w:rPr>
          <w:rFonts w:hint="eastAsia" w:ascii="新宋体" w:hAnsi="新宋体" w:eastAsia="新宋体"/>
          <w:color w:val="auto"/>
          <w:sz w:val="22"/>
          <w:highlight w:val="none"/>
        </w:rPr>
        <w:t>同时向甲方提供货物的质量保证书、保修卡、使用说明等必备资料和必备配附件。</w:t>
      </w:r>
    </w:p>
    <w:p w14:paraId="7B729A5E">
      <w:pPr>
        <w:keepNext w:val="0"/>
        <w:keepLines w:val="0"/>
        <w:pageBreakBefore w:val="0"/>
        <w:shd w:val="clear" w:color="auto" w:fill="auto"/>
        <w:kinsoku/>
        <w:wordWrap/>
        <w:overflowPunct/>
        <w:topLinePunct w:val="0"/>
        <w:autoSpaceDE/>
        <w:autoSpaceDN/>
        <w:bidi w:val="0"/>
        <w:adjustRightInd/>
        <w:snapToGrid/>
        <w:spacing w:line="360" w:lineRule="auto"/>
        <w:ind w:firstLine="541" w:firstLineChars="245"/>
        <w:textAlignment w:val="auto"/>
        <w:rPr>
          <w:rFonts w:hint="eastAsia" w:ascii="新宋体" w:hAnsi="新宋体" w:eastAsia="新宋体"/>
          <w:b/>
          <w:color w:val="auto"/>
          <w:sz w:val="22"/>
          <w:highlight w:val="none"/>
        </w:rPr>
      </w:pPr>
      <w:bookmarkStart w:id="102" w:name="OLE_LINK6"/>
      <w:r>
        <w:rPr>
          <w:rFonts w:hint="eastAsia" w:ascii="新宋体" w:hAnsi="新宋体" w:eastAsia="新宋体"/>
          <w:b/>
          <w:color w:val="auto"/>
          <w:sz w:val="22"/>
          <w:highlight w:val="none"/>
          <w:lang w:eastAsia="zh-CN"/>
        </w:rPr>
        <w:t>5.</w:t>
      </w:r>
      <w:r>
        <w:rPr>
          <w:rFonts w:hint="eastAsia" w:ascii="新宋体" w:hAnsi="新宋体" w:eastAsia="新宋体"/>
          <w:b/>
          <w:color w:val="auto"/>
          <w:sz w:val="22"/>
          <w:highlight w:val="none"/>
        </w:rPr>
        <w:t>技术文件和资料</w:t>
      </w:r>
    </w:p>
    <w:bookmarkEnd w:id="102"/>
    <w:p w14:paraId="2EC4FC08">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Times New Roman"/>
          <w:color w:val="auto"/>
          <w:sz w:val="22"/>
          <w:highlight w:val="none"/>
          <w:lang w:val="en-US" w:eastAsia="zh-CN"/>
        </w:rPr>
      </w:pPr>
      <w:r>
        <w:rPr>
          <w:rFonts w:hint="eastAsia" w:ascii="新宋体" w:hAnsi="新宋体" w:eastAsia="新宋体" w:cs="Times New Roman"/>
          <w:color w:val="auto"/>
          <w:sz w:val="22"/>
          <w:highlight w:val="none"/>
          <w:lang w:val="en-US" w:eastAsia="zh-CN"/>
        </w:rPr>
        <w:t>5</w:t>
      </w:r>
      <w:r>
        <w:rPr>
          <w:rFonts w:hint="eastAsia" w:ascii="新宋体" w:hAnsi="新宋体" w:eastAsia="新宋体" w:cs="Times New Roman"/>
          <w:color w:val="auto"/>
          <w:sz w:val="22"/>
          <w:highlight w:val="none"/>
        </w:rPr>
        <w:t xml:space="preserve">.1 </w:t>
      </w:r>
      <w:r>
        <w:rPr>
          <w:rFonts w:hint="eastAsia" w:ascii="新宋体" w:hAnsi="新宋体" w:eastAsia="新宋体" w:cs="Times New Roman"/>
          <w:color w:val="auto"/>
          <w:sz w:val="22"/>
          <w:highlight w:val="none"/>
          <w:lang w:val="en-US" w:eastAsia="zh-CN"/>
        </w:rPr>
        <w:t>乙</w:t>
      </w:r>
      <w:r>
        <w:rPr>
          <w:rFonts w:hint="eastAsia" w:ascii="新宋体" w:hAnsi="新宋体" w:eastAsia="新宋体" w:cs="Times New Roman"/>
          <w:color w:val="auto"/>
          <w:sz w:val="22"/>
          <w:highlight w:val="none"/>
        </w:rPr>
        <w:t>方应将</w:t>
      </w:r>
      <w:r>
        <w:rPr>
          <w:rFonts w:hint="eastAsia" w:ascii="新宋体" w:hAnsi="新宋体" w:eastAsia="新宋体" w:cs="Times New Roman"/>
          <w:color w:val="auto"/>
          <w:sz w:val="22"/>
          <w:highlight w:val="none"/>
          <w:lang w:val="en-US" w:eastAsia="zh-CN"/>
        </w:rPr>
        <w:t>每套产品</w:t>
      </w:r>
      <w:r>
        <w:rPr>
          <w:rFonts w:hint="eastAsia" w:ascii="新宋体" w:hAnsi="新宋体" w:eastAsia="新宋体" w:cs="Times New Roman"/>
          <w:color w:val="auto"/>
          <w:sz w:val="22"/>
          <w:highlight w:val="none"/>
        </w:rPr>
        <w:t>的中文技术资料完整一套，如目录索引、图纸、操作手册、使用指南、</w:t>
      </w:r>
      <w:r>
        <w:rPr>
          <w:rFonts w:hint="eastAsia" w:ascii="新宋体" w:hAnsi="新宋体" w:eastAsia="新宋体" w:cs="Times New Roman"/>
          <w:color w:val="auto"/>
          <w:sz w:val="22"/>
          <w:highlight w:val="none"/>
          <w:lang w:val="en-US" w:eastAsia="zh-CN"/>
        </w:rPr>
        <w:t>维修指南和／或服务手册和示意图等随同每批货物一起发运；</w:t>
      </w:r>
    </w:p>
    <w:p w14:paraId="3432681C">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Times New Roman"/>
          <w:color w:val="auto"/>
          <w:sz w:val="22"/>
          <w:highlight w:val="none"/>
          <w:lang w:val="en-US" w:eastAsia="zh-CN"/>
        </w:rPr>
      </w:pPr>
      <w:r>
        <w:rPr>
          <w:rFonts w:hint="eastAsia" w:ascii="新宋体" w:hAnsi="新宋体" w:eastAsia="新宋体" w:cs="Times New Roman"/>
          <w:color w:val="auto"/>
          <w:sz w:val="22"/>
          <w:highlight w:val="none"/>
          <w:lang w:val="en-US" w:eastAsia="zh-CN"/>
        </w:rPr>
        <w:t>5.2 如果甲方确认乙方提供的技术资料不完整或在运输过程中丢失，乙方将在收到甲方通知后3 天内将这些资料寄给甲方；</w:t>
      </w:r>
    </w:p>
    <w:p w14:paraId="5997C43B">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Times New Roman"/>
          <w:color w:val="auto"/>
          <w:sz w:val="22"/>
          <w:highlight w:val="none"/>
          <w:u w:val="single"/>
          <w:lang w:val="en-US" w:eastAsia="zh-CN"/>
        </w:rPr>
      </w:pPr>
      <w:r>
        <w:rPr>
          <w:rFonts w:hint="eastAsia" w:ascii="新宋体" w:hAnsi="新宋体" w:eastAsia="新宋体" w:cs="Times New Roman"/>
          <w:color w:val="auto"/>
          <w:sz w:val="22"/>
          <w:highlight w:val="none"/>
          <w:lang w:val="en-US" w:eastAsia="zh-CN"/>
        </w:rPr>
        <w:t>5.3 其他：</w:t>
      </w:r>
      <w:r>
        <w:rPr>
          <w:rFonts w:hint="eastAsia" w:ascii="新宋体" w:hAnsi="新宋体" w:eastAsia="新宋体" w:cs="Times New Roman"/>
          <w:color w:val="auto"/>
          <w:sz w:val="22"/>
          <w:highlight w:val="none"/>
          <w:u w:val="single"/>
          <w:lang w:val="en-US" w:eastAsia="zh-CN"/>
        </w:rPr>
        <w:t xml:space="preserve">                                                               </w:t>
      </w:r>
    </w:p>
    <w:p w14:paraId="1C9FBC76">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五、付款方式与结算</w:t>
      </w:r>
    </w:p>
    <w:p w14:paraId="64273E68">
      <w:pPr>
        <w:keepNext w:val="0"/>
        <w:keepLines w:val="0"/>
        <w:pageBreakBefore w:val="0"/>
        <w:shd w:val="clear" w:color="auto" w:fill="auto"/>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在合同签订时，</w:t>
      </w:r>
      <w:r>
        <w:rPr>
          <w:rFonts w:hint="eastAsia" w:ascii="宋体" w:hAnsi="宋体" w:eastAsia="宋体" w:cs="宋体"/>
          <w:color w:val="auto"/>
          <w:sz w:val="22"/>
          <w:szCs w:val="22"/>
          <w:highlight w:val="none"/>
          <w:lang w:val="en-US" w:eastAsia="zh-CN"/>
        </w:rPr>
        <w:t>乙</w:t>
      </w:r>
      <w:r>
        <w:rPr>
          <w:rFonts w:hint="eastAsia" w:ascii="宋体" w:hAnsi="宋体" w:eastAsia="宋体" w:cs="宋体"/>
          <w:color w:val="auto"/>
          <w:sz w:val="22"/>
          <w:szCs w:val="22"/>
          <w:highlight w:val="none"/>
        </w:rPr>
        <w:t>方须向</w:t>
      </w:r>
      <w:r>
        <w:rPr>
          <w:rFonts w:hint="eastAsia" w:ascii="宋体" w:hAnsi="宋体" w:cs="宋体"/>
          <w:color w:val="auto"/>
          <w:sz w:val="22"/>
          <w:szCs w:val="22"/>
          <w:highlight w:val="none"/>
          <w:lang w:val="en-US" w:eastAsia="zh-CN"/>
        </w:rPr>
        <w:t>甲方</w:t>
      </w:r>
      <w:r>
        <w:rPr>
          <w:rFonts w:hint="eastAsia" w:ascii="宋体" w:hAnsi="宋体" w:eastAsia="宋体" w:cs="宋体"/>
          <w:color w:val="auto"/>
          <w:sz w:val="22"/>
          <w:szCs w:val="22"/>
          <w:highlight w:val="none"/>
        </w:rPr>
        <w:t>提供合同金额</w:t>
      </w:r>
      <w:r>
        <w:rPr>
          <w:rFonts w:hint="eastAsia" w:ascii="宋体" w:hAnsi="宋体" w:cs="宋体"/>
          <w:color w:val="auto"/>
          <w:sz w:val="22"/>
          <w:szCs w:val="22"/>
          <w:highlight w:val="none"/>
          <w:lang w:val="en-US" w:eastAsia="zh-CN"/>
        </w:rPr>
        <w:t>2.5%</w:t>
      </w:r>
      <w:r>
        <w:rPr>
          <w:rFonts w:hint="eastAsia" w:ascii="宋体" w:hAnsi="宋体" w:eastAsia="宋体" w:cs="宋体"/>
          <w:color w:val="auto"/>
          <w:sz w:val="22"/>
          <w:szCs w:val="22"/>
          <w:highlight w:val="none"/>
        </w:rPr>
        <w:t>的履约保证金，合同在</w:t>
      </w:r>
      <w:r>
        <w:rPr>
          <w:rFonts w:hint="eastAsia" w:ascii="宋体" w:hAnsi="宋体" w:eastAsia="宋体" w:cs="宋体"/>
          <w:color w:val="auto"/>
          <w:sz w:val="22"/>
          <w:szCs w:val="22"/>
          <w:highlight w:val="none"/>
          <w:lang w:val="en-US" w:eastAsia="zh-CN"/>
        </w:rPr>
        <w:t>甲</w:t>
      </w:r>
      <w:r>
        <w:rPr>
          <w:rFonts w:hint="eastAsia" w:ascii="宋体" w:hAnsi="宋体" w:eastAsia="宋体" w:cs="宋体"/>
          <w:color w:val="auto"/>
          <w:sz w:val="22"/>
          <w:szCs w:val="22"/>
          <w:highlight w:val="none"/>
        </w:rPr>
        <w:t>方收到</w:t>
      </w:r>
      <w:r>
        <w:rPr>
          <w:rFonts w:hint="eastAsia" w:ascii="宋体" w:hAnsi="宋体" w:eastAsia="宋体" w:cs="宋体"/>
          <w:color w:val="auto"/>
          <w:sz w:val="22"/>
          <w:szCs w:val="22"/>
          <w:highlight w:val="none"/>
          <w:lang w:val="en-US" w:eastAsia="zh-CN"/>
        </w:rPr>
        <w:t>乙</w:t>
      </w:r>
      <w:r>
        <w:rPr>
          <w:rFonts w:hint="eastAsia" w:ascii="宋体" w:hAnsi="宋体" w:eastAsia="宋体" w:cs="宋体"/>
          <w:color w:val="auto"/>
          <w:sz w:val="22"/>
          <w:szCs w:val="22"/>
          <w:highlight w:val="none"/>
        </w:rPr>
        <w:t>方提交的履约保证金后生效；合同签订并生效</w:t>
      </w:r>
      <w:r>
        <w:rPr>
          <w:rFonts w:hint="eastAsia" w:ascii="宋体" w:hAnsi="宋体" w:cs="宋体"/>
          <w:color w:val="auto"/>
          <w:sz w:val="22"/>
          <w:szCs w:val="22"/>
          <w:highlight w:val="none"/>
          <w:lang w:val="en-US" w:eastAsia="zh-CN"/>
        </w:rPr>
        <w:t>且货到现场后15个工作日内，</w:t>
      </w:r>
      <w:r>
        <w:rPr>
          <w:rFonts w:hint="eastAsia" w:ascii="宋体" w:hAnsi="宋体" w:eastAsia="宋体" w:cs="宋体"/>
          <w:color w:val="auto"/>
          <w:sz w:val="22"/>
          <w:szCs w:val="22"/>
          <w:highlight w:val="none"/>
          <w:lang w:val="en-US" w:eastAsia="zh-CN"/>
        </w:rPr>
        <w:t>甲</w:t>
      </w:r>
      <w:r>
        <w:rPr>
          <w:rFonts w:hint="eastAsia" w:ascii="宋体" w:hAnsi="宋体" w:eastAsia="宋体" w:cs="宋体"/>
          <w:color w:val="auto"/>
          <w:sz w:val="22"/>
          <w:szCs w:val="22"/>
          <w:highlight w:val="none"/>
        </w:rPr>
        <w:t>方向</w:t>
      </w:r>
      <w:r>
        <w:rPr>
          <w:rFonts w:hint="eastAsia" w:ascii="宋体" w:hAnsi="宋体" w:eastAsia="宋体" w:cs="宋体"/>
          <w:color w:val="auto"/>
          <w:sz w:val="22"/>
          <w:szCs w:val="22"/>
          <w:highlight w:val="none"/>
          <w:lang w:val="en-US" w:eastAsia="zh-CN"/>
        </w:rPr>
        <w:t>乙</w:t>
      </w:r>
      <w:r>
        <w:rPr>
          <w:rFonts w:hint="eastAsia" w:ascii="宋体" w:hAnsi="宋体" w:eastAsia="宋体" w:cs="宋体"/>
          <w:color w:val="auto"/>
          <w:sz w:val="22"/>
          <w:szCs w:val="22"/>
          <w:highlight w:val="none"/>
        </w:rPr>
        <w:t>方支付合同价款的30%作为预付款，</w:t>
      </w:r>
      <w:r>
        <w:rPr>
          <w:rFonts w:hint="eastAsia" w:ascii="宋体" w:hAnsi="宋体" w:eastAsia="宋体" w:cs="宋体"/>
          <w:color w:val="auto"/>
          <w:sz w:val="22"/>
          <w:szCs w:val="22"/>
          <w:highlight w:val="none"/>
          <w:lang w:val="en-US" w:eastAsia="zh-CN"/>
        </w:rPr>
        <w:t>乙</w:t>
      </w:r>
      <w:r>
        <w:rPr>
          <w:rFonts w:hint="eastAsia" w:ascii="宋体" w:hAnsi="宋体" w:eastAsia="宋体" w:cs="宋体"/>
          <w:color w:val="auto"/>
          <w:sz w:val="22"/>
          <w:szCs w:val="22"/>
          <w:highlight w:val="none"/>
        </w:rPr>
        <w:t>方完成全部货物的生产、运输、安装、调试并通过最终验收后15个工作日内，同时履约保证金转换为质量保证金。乙方依约履行上述义务后，甲方收到乙方开具的发票后30天内向乙方支付合同总额70%的货款（</w:t>
      </w:r>
      <w:r>
        <w:rPr>
          <w:rFonts w:hint="eastAsia" w:ascii="宋体" w:hAnsi="宋体" w:eastAsia="宋体" w:cs="宋体"/>
          <w:color w:val="auto"/>
          <w:sz w:val="22"/>
          <w:szCs w:val="22"/>
          <w:highlight w:val="none"/>
          <w:lang w:val="en-US" w:eastAsia="zh-CN"/>
        </w:rPr>
        <w:t>乙</w:t>
      </w:r>
      <w:r>
        <w:rPr>
          <w:rFonts w:hint="eastAsia" w:ascii="宋体" w:hAnsi="宋体" w:eastAsia="宋体" w:cs="宋体"/>
          <w:color w:val="auto"/>
          <w:sz w:val="22"/>
          <w:szCs w:val="22"/>
          <w:highlight w:val="none"/>
        </w:rPr>
        <w:t>方必须开具与合同金额相等的正规有效的增值税普通发票）。</w:t>
      </w:r>
      <w:r>
        <w:rPr>
          <w:rFonts w:hint="eastAsia" w:ascii="宋体" w:hAnsi="宋体" w:cs="宋体"/>
          <w:color w:val="auto"/>
          <w:sz w:val="22"/>
          <w:szCs w:val="22"/>
          <w:highlight w:val="none"/>
          <w:lang w:val="en-US" w:eastAsia="zh-CN"/>
        </w:rPr>
        <w:t>质量保证金</w:t>
      </w:r>
      <w:r>
        <w:rPr>
          <w:rFonts w:hint="eastAsia" w:ascii="宋体" w:hAnsi="宋体" w:eastAsia="宋体" w:cs="宋体"/>
          <w:color w:val="auto"/>
          <w:sz w:val="22"/>
          <w:szCs w:val="22"/>
          <w:highlight w:val="none"/>
        </w:rPr>
        <w:t>待质保期满后无质量问题15个工作日内一次性无息退还。</w:t>
      </w:r>
    </w:p>
    <w:p w14:paraId="3B7EB747">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六、质量要求</w:t>
      </w:r>
    </w:p>
    <w:p w14:paraId="3279B222">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1.</w:t>
      </w:r>
      <w:r>
        <w:rPr>
          <w:rFonts w:hint="eastAsia" w:ascii="新宋体" w:hAnsi="新宋体" w:eastAsia="新宋体"/>
          <w:color w:val="auto"/>
          <w:sz w:val="22"/>
          <w:highlight w:val="none"/>
        </w:rPr>
        <w:t>乙方所提供的货物应保证是企业原厂生产的货物，是用一流的工艺和最佳材料制造而成的，并完全符合合同规定的质量、规格和性能要求。乙方应保证所提供的货物经正常</w:t>
      </w:r>
      <w:r>
        <w:rPr>
          <w:rFonts w:hint="eastAsia" w:ascii="新宋体" w:hAnsi="新宋体" w:eastAsia="新宋体"/>
          <w:color w:val="auto"/>
          <w:sz w:val="22"/>
          <w:highlight w:val="none"/>
          <w:lang w:val="en-US" w:eastAsia="zh-CN"/>
        </w:rPr>
        <w:t>功能</w:t>
      </w:r>
      <w:r>
        <w:rPr>
          <w:rFonts w:hint="eastAsia" w:ascii="新宋体" w:hAnsi="新宋体" w:eastAsia="新宋体"/>
          <w:color w:val="auto"/>
          <w:sz w:val="22"/>
          <w:highlight w:val="none"/>
        </w:rPr>
        <w:t>和保养，在其使用寿命期内应具有使甲方满意的性能，并且确保一次性通过各项检验和测试。在货物质量保证期内，乙方应对由于设计、工艺、材料和配套件的缺陷所产生的任何不足或故障负责。</w:t>
      </w:r>
    </w:p>
    <w:p w14:paraId="3115B2D9">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ascii="新宋体" w:hAnsi="新宋体" w:eastAsia="新宋体"/>
          <w:color w:val="auto"/>
          <w:sz w:val="22"/>
          <w:highlight w:val="none"/>
        </w:rPr>
      </w:pPr>
      <w:r>
        <w:rPr>
          <w:rFonts w:hint="eastAsia" w:ascii="新宋体" w:hAnsi="新宋体" w:eastAsia="新宋体"/>
          <w:color w:val="auto"/>
          <w:sz w:val="22"/>
          <w:highlight w:val="none"/>
          <w:lang w:eastAsia="zh-CN"/>
        </w:rPr>
        <w:t>2.</w:t>
      </w:r>
      <w:r>
        <w:rPr>
          <w:rFonts w:hint="eastAsia" w:ascii="新宋体" w:hAnsi="新宋体" w:eastAsia="新宋体"/>
          <w:color w:val="auto"/>
          <w:sz w:val="22"/>
          <w:highlight w:val="none"/>
        </w:rPr>
        <w:t>根据甲方按检验标准检验的结果或当地质检部门检验的结果，或者在质量保证期内，如果货物的数量、质量或规格与合同不符，或证实货物是有缺陷的，包括潜在的缺陷或使用不符合要求的材料等，甲方应尽快以书面形式通知乙方，提出索赔。乙方在收到通知后，应在规定期限内，用与报价时采用的零件、部件或材料免费更换有缺陷的或不符合要求的零件、部件或材料，同时相应延长质量保证期。</w:t>
      </w:r>
    </w:p>
    <w:p w14:paraId="2D69A77C">
      <w:pPr>
        <w:keepNext w:val="0"/>
        <w:keepLines w:val="0"/>
        <w:pageBreakBefore w:val="0"/>
        <w:shd w:val="clear" w:color="auto" w:fill="auto"/>
        <w:kinsoku/>
        <w:wordWrap/>
        <w:overflowPunct/>
        <w:topLinePunct w:val="0"/>
        <w:autoSpaceDE/>
        <w:autoSpaceDN/>
        <w:bidi w:val="0"/>
        <w:adjustRightInd/>
        <w:snapToGrid/>
        <w:spacing w:line="360" w:lineRule="auto"/>
        <w:ind w:firstLine="418" w:firstLineChars="190"/>
        <w:textAlignment w:val="auto"/>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3.</w:t>
      </w:r>
      <w:r>
        <w:rPr>
          <w:rFonts w:hint="eastAsia" w:ascii="新宋体" w:hAnsi="新宋体" w:eastAsia="新宋体" w:cs="新宋体"/>
          <w:color w:val="auto"/>
          <w:sz w:val="22"/>
          <w:szCs w:val="22"/>
          <w:highlight w:val="none"/>
        </w:rPr>
        <w:t>乙方提供的货物在质保期内因货物本身的质量问题发生故障，乙方应负责免费更换。对达不到技术要求的，根据实际情况，经双方协商，可按以下办法处理：</w:t>
      </w:r>
    </w:p>
    <w:p w14:paraId="0E5B4019">
      <w:pPr>
        <w:keepNext w:val="0"/>
        <w:keepLines w:val="0"/>
        <w:pageBreakBefore w:val="0"/>
        <w:shd w:val="clear" w:color="auto" w:fill="auto"/>
        <w:kinsoku/>
        <w:wordWrap/>
        <w:overflowPunct/>
        <w:topLinePunct w:val="0"/>
        <w:autoSpaceDE/>
        <w:autoSpaceDN/>
        <w:bidi w:val="0"/>
        <w:adjustRightInd/>
        <w:snapToGrid/>
        <w:spacing w:line="360" w:lineRule="auto"/>
        <w:ind w:firstLine="418" w:firstLineChars="19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（1）更换：由乙方承担所发生的全部费用。</w:t>
      </w:r>
    </w:p>
    <w:p w14:paraId="067227B8">
      <w:pPr>
        <w:keepNext w:val="0"/>
        <w:keepLines w:val="0"/>
        <w:pageBreakBefore w:val="0"/>
        <w:shd w:val="clear" w:color="auto" w:fill="auto"/>
        <w:kinsoku/>
        <w:wordWrap/>
        <w:overflowPunct/>
        <w:topLinePunct w:val="0"/>
        <w:autoSpaceDE/>
        <w:autoSpaceDN/>
        <w:bidi w:val="0"/>
        <w:adjustRightInd/>
        <w:snapToGrid/>
        <w:spacing w:line="360" w:lineRule="auto"/>
        <w:ind w:firstLine="418" w:firstLineChars="19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（2）贬值处理：甲乙双方合议定价。</w:t>
      </w:r>
    </w:p>
    <w:p w14:paraId="61E0F235">
      <w:pPr>
        <w:keepNext w:val="0"/>
        <w:keepLines w:val="0"/>
        <w:pageBreakBefore w:val="0"/>
        <w:shd w:val="clear" w:color="auto" w:fill="auto"/>
        <w:kinsoku/>
        <w:wordWrap/>
        <w:overflowPunct/>
        <w:topLinePunct w:val="0"/>
        <w:autoSpaceDE/>
        <w:autoSpaceDN/>
        <w:bidi w:val="0"/>
        <w:adjustRightInd/>
        <w:snapToGrid/>
        <w:spacing w:line="360" w:lineRule="auto"/>
        <w:ind w:firstLine="418" w:firstLineChars="19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（3）退货处理：乙方应退还甲方支付的合同款，同时应承担该货物的直接费用（运输、保险、检验、货款利息及银行手续费等）。</w:t>
      </w:r>
    </w:p>
    <w:p w14:paraId="130B804F">
      <w:pPr>
        <w:keepNext w:val="0"/>
        <w:keepLines w:val="0"/>
        <w:pageBreakBefore w:val="0"/>
        <w:shd w:val="clear" w:color="auto" w:fill="auto"/>
        <w:kinsoku/>
        <w:wordWrap/>
        <w:overflowPunct/>
        <w:topLinePunct w:val="0"/>
        <w:autoSpaceDE/>
        <w:autoSpaceDN/>
        <w:bidi w:val="0"/>
        <w:adjustRightInd/>
        <w:snapToGrid/>
        <w:spacing w:line="360" w:lineRule="auto"/>
        <w:ind w:firstLine="541" w:firstLineChars="245"/>
        <w:textAlignment w:val="auto"/>
        <w:rPr>
          <w:rFonts w:hint="eastAsia" w:ascii="新宋体" w:hAnsi="新宋体" w:eastAsia="新宋体"/>
          <w:b/>
          <w:bCs/>
          <w:color w:val="auto"/>
          <w:sz w:val="22"/>
          <w:highlight w:val="none"/>
        </w:rPr>
      </w:pPr>
      <w:r>
        <w:rPr>
          <w:rFonts w:hint="eastAsia" w:ascii="新宋体" w:hAnsi="新宋体" w:eastAsia="新宋体"/>
          <w:b/>
          <w:bCs/>
          <w:color w:val="auto"/>
          <w:sz w:val="22"/>
          <w:highlight w:val="none"/>
          <w:lang w:eastAsia="zh-CN"/>
        </w:rPr>
        <w:t>4.</w:t>
      </w:r>
      <w:r>
        <w:rPr>
          <w:rFonts w:hint="eastAsia" w:ascii="新宋体" w:hAnsi="新宋体" w:eastAsia="新宋体"/>
          <w:b/>
          <w:bCs/>
          <w:color w:val="auto"/>
          <w:sz w:val="22"/>
          <w:highlight w:val="none"/>
        </w:rPr>
        <w:t>本合同项下货物质量保证期为自货物通过最终验收，向甲方移交之日起   年（  个月）（货物另有超过质保期规定或</w:t>
      </w:r>
      <w:r>
        <w:rPr>
          <w:rFonts w:hint="eastAsia" w:ascii="新宋体" w:hAnsi="新宋体" w:eastAsia="新宋体"/>
          <w:b/>
          <w:bCs/>
          <w:color w:val="auto"/>
          <w:sz w:val="22"/>
          <w:highlight w:val="none"/>
          <w:lang w:eastAsia="zh-CN"/>
        </w:rPr>
        <w:t>乙方</w:t>
      </w:r>
      <w:r>
        <w:rPr>
          <w:rFonts w:hint="eastAsia" w:ascii="新宋体" w:hAnsi="新宋体" w:eastAsia="新宋体"/>
          <w:b/>
          <w:bCs/>
          <w:color w:val="auto"/>
          <w:sz w:val="22"/>
          <w:highlight w:val="none"/>
        </w:rPr>
        <w:t>投标文件另有承诺的按就高原则执行），质保期内出现故障，在接到电话后0.5小时内响应，24小时内到现场，48小时内解决问题（若质保期内免费保修上门服务时间不能保证，相应延迟质保期时间），对不能及时解决问题的，须提供相应的备机供用户使用。（采购内容另有规定除外）</w:t>
      </w:r>
    </w:p>
    <w:p w14:paraId="273D2900">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七、验收</w:t>
      </w:r>
    </w:p>
    <w:p w14:paraId="63514FD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1.</w:t>
      </w:r>
      <w:r>
        <w:rPr>
          <w:rFonts w:hint="eastAsia" w:ascii="宋体" w:hAnsi="宋体" w:cs="宋体"/>
          <w:color w:val="auto"/>
          <w:kern w:val="0"/>
          <w:sz w:val="22"/>
          <w:szCs w:val="22"/>
          <w:highlight w:val="none"/>
        </w:rPr>
        <w:t xml:space="preserve"> 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5D77B70C">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2.</w:t>
      </w:r>
      <w:r>
        <w:rPr>
          <w:rFonts w:hint="eastAsia" w:ascii="宋体" w:hAnsi="宋体" w:cs="宋体"/>
          <w:color w:val="auto"/>
          <w:kern w:val="0"/>
          <w:sz w:val="22"/>
          <w:szCs w:val="22"/>
          <w:highlight w:val="none"/>
        </w:rPr>
        <w:t>货物的到货验收包括：型号、规格、数量、外观质量、及货物包装是否完好；甲方须按照采购合同规定或采购文件的技术、服务等要求组织对供应商履约的验收，并出具验收书，验收书应当包括每一项技术、服务等要求的履约情况。验收方成员应当在验收书上签字，并承担相应的法律责任；</w:t>
      </w:r>
    </w:p>
    <w:p w14:paraId="13F3AF69">
      <w:pPr>
        <w:keepNext w:val="0"/>
        <w:keepLines w:val="0"/>
        <w:pageBreakBefore w:val="0"/>
        <w:widowControl/>
        <w:shd w:val="clear" w:color="auto" w:fill="auto"/>
        <w:kinsoku/>
        <w:wordWrap/>
        <w:overflowPunct/>
        <w:topLinePunct w:val="0"/>
        <w:autoSpaceDE/>
        <w:autoSpaceDN/>
        <w:bidi w:val="0"/>
        <w:adjustRightInd/>
        <w:snapToGrid/>
        <w:spacing w:line="360" w:lineRule="auto"/>
        <w:ind w:firstLine="0" w:firstLineChars="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大型或者复杂的项目，</w:t>
      </w:r>
      <w:r>
        <w:rPr>
          <w:rFonts w:hint="eastAsia" w:ascii="宋体" w:hAnsi="宋体" w:cs="宋体"/>
          <w:color w:val="auto"/>
          <w:kern w:val="0"/>
          <w:sz w:val="22"/>
          <w:szCs w:val="22"/>
          <w:highlight w:val="none"/>
          <w:lang w:eastAsia="zh-CN"/>
        </w:rPr>
        <w:t>甲方</w:t>
      </w:r>
      <w:r>
        <w:rPr>
          <w:rFonts w:hint="eastAsia" w:ascii="宋体" w:hAnsi="宋体" w:cs="宋体"/>
          <w:color w:val="auto"/>
          <w:kern w:val="0"/>
          <w:sz w:val="22"/>
          <w:szCs w:val="22"/>
          <w:highlight w:val="none"/>
        </w:rPr>
        <w:t>应当邀请国家认可的质量检测机构参加验收；</w:t>
      </w:r>
    </w:p>
    <w:p w14:paraId="3A302D22">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3.</w:t>
      </w:r>
      <w:r>
        <w:rPr>
          <w:rFonts w:hint="eastAsia" w:ascii="宋体" w:hAnsi="宋体" w:cs="宋体"/>
          <w:color w:val="auto"/>
          <w:kern w:val="0"/>
          <w:sz w:val="22"/>
          <w:szCs w:val="22"/>
          <w:highlight w:val="none"/>
        </w:rPr>
        <w:t xml:space="preserve"> </w:t>
      </w:r>
      <w:r>
        <w:rPr>
          <w:rFonts w:hint="eastAsia" w:ascii="宋体" w:hAnsi="宋体" w:cs="宋体"/>
          <w:color w:val="auto"/>
          <w:kern w:val="0"/>
          <w:sz w:val="22"/>
          <w:szCs w:val="22"/>
          <w:highlight w:val="none"/>
          <w:lang w:val="en-US" w:eastAsia="zh-CN"/>
        </w:rPr>
        <w:t>乙</w:t>
      </w:r>
      <w:r>
        <w:rPr>
          <w:rFonts w:hint="eastAsia" w:ascii="宋体" w:hAnsi="宋体" w:cs="宋体"/>
          <w:color w:val="auto"/>
          <w:kern w:val="0"/>
          <w:sz w:val="22"/>
          <w:szCs w:val="22"/>
          <w:highlight w:val="none"/>
          <w:u w:val="single"/>
          <w:lang w:val="en-US" w:eastAsia="zh-CN"/>
        </w:rPr>
        <w:t>方完成所有货物的交付及安装调试后，</w:t>
      </w:r>
      <w:r>
        <w:rPr>
          <w:rFonts w:hint="eastAsia" w:ascii="宋体" w:hAnsi="宋体" w:cs="宋体"/>
          <w:color w:val="auto"/>
          <w:kern w:val="0"/>
          <w:sz w:val="22"/>
          <w:szCs w:val="22"/>
          <w:highlight w:val="none"/>
          <w:u w:val="single"/>
        </w:rPr>
        <w:t>乙方提交交付函及验收申请报告</w:t>
      </w:r>
      <w:r>
        <w:rPr>
          <w:rFonts w:hint="eastAsia" w:ascii="宋体" w:hAnsi="宋体" w:cs="宋体"/>
          <w:color w:val="auto"/>
          <w:kern w:val="0"/>
          <w:sz w:val="22"/>
          <w:szCs w:val="22"/>
          <w:highlight w:val="none"/>
          <w:u w:val="single"/>
          <w:lang w:val="en-US" w:eastAsia="zh-CN"/>
        </w:rPr>
        <w:t>3</w:t>
      </w:r>
      <w:r>
        <w:rPr>
          <w:rFonts w:hint="eastAsia" w:ascii="宋体" w:hAnsi="宋体" w:cs="宋体"/>
          <w:color w:val="auto"/>
          <w:kern w:val="0"/>
          <w:sz w:val="22"/>
          <w:szCs w:val="22"/>
          <w:highlight w:val="none"/>
          <w:u w:val="single"/>
        </w:rPr>
        <w:t>个月内甲方组织验收</w:t>
      </w:r>
      <w:r>
        <w:rPr>
          <w:rFonts w:hint="eastAsia" w:ascii="宋体" w:hAnsi="宋体" w:cs="宋体"/>
          <w:color w:val="auto"/>
          <w:kern w:val="0"/>
          <w:sz w:val="22"/>
          <w:szCs w:val="22"/>
          <w:highlight w:val="none"/>
          <w:lang w:val="en-US" w:eastAsia="zh-CN"/>
        </w:rPr>
        <w:t xml:space="preserve"> </w:t>
      </w:r>
      <w:r>
        <w:rPr>
          <w:rFonts w:hint="eastAsia" w:ascii="宋体" w:hAnsi="宋体" w:cs="宋体"/>
          <w:color w:val="auto"/>
          <w:kern w:val="0"/>
          <w:sz w:val="22"/>
          <w:szCs w:val="22"/>
          <w:highlight w:val="none"/>
        </w:rPr>
        <w:t>。验收合格的，由甲方签署验收单并加盖单位公章。采购文件对检验期限另有规定的，从其规定；</w:t>
      </w:r>
    </w:p>
    <w:p w14:paraId="30F17CD4">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4.</w:t>
      </w:r>
      <w:r>
        <w:rPr>
          <w:rFonts w:hint="eastAsia" w:ascii="宋体" w:hAnsi="宋体" w:cs="宋体"/>
          <w:color w:val="auto"/>
          <w:kern w:val="0"/>
          <w:sz w:val="22"/>
          <w:szCs w:val="22"/>
          <w:highlight w:val="none"/>
        </w:rPr>
        <w:t xml:space="preserve"> 货物调试验收的标准：按行业通行标准、厂方出厂标准和乙方投标文件的承诺（详见合同附件载明的标准，并不低于国家相关标准）；</w:t>
      </w:r>
    </w:p>
    <w:p w14:paraId="3D61E7D0">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5.</w:t>
      </w:r>
      <w:r>
        <w:rPr>
          <w:rFonts w:hint="eastAsia" w:ascii="宋体" w:hAnsi="宋体" w:cs="宋体"/>
          <w:color w:val="auto"/>
          <w:kern w:val="0"/>
          <w:sz w:val="22"/>
          <w:szCs w:val="22"/>
          <w:highlight w:val="none"/>
        </w:rPr>
        <w:t xml:space="preserve"> 甲方有在货物制造过程中派员监造的权利， 乙方有义务为</w:t>
      </w:r>
      <w:r>
        <w:rPr>
          <w:rFonts w:hint="eastAsia" w:ascii="宋体" w:hAnsi="宋体" w:cs="宋体"/>
          <w:color w:val="auto"/>
          <w:kern w:val="0"/>
          <w:sz w:val="22"/>
          <w:szCs w:val="22"/>
          <w:highlight w:val="none"/>
          <w:lang w:eastAsia="zh-CN"/>
        </w:rPr>
        <w:t>甲方</w:t>
      </w:r>
      <w:r>
        <w:rPr>
          <w:rFonts w:hint="eastAsia" w:ascii="宋体" w:hAnsi="宋体" w:cs="宋体"/>
          <w:color w:val="auto"/>
          <w:kern w:val="0"/>
          <w:sz w:val="22"/>
          <w:szCs w:val="22"/>
          <w:highlight w:val="none"/>
        </w:rPr>
        <w:t>监造人员行使该权利提供方便；</w:t>
      </w:r>
    </w:p>
    <w:p w14:paraId="2E511F2A">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40" w:firstLineChars="200"/>
        <w:jc w:val="left"/>
        <w:textAlignment w:val="auto"/>
        <w:rPr>
          <w:rFonts w:hint="eastAsia" w:ascii="宋体" w:hAnsi="宋体" w:cs="宋体"/>
          <w:color w:val="auto"/>
          <w:kern w:val="0"/>
          <w:sz w:val="22"/>
          <w:szCs w:val="22"/>
          <w:highlight w:val="none"/>
          <w:u w:val="single"/>
        </w:rPr>
      </w:pPr>
      <w:r>
        <w:rPr>
          <w:rFonts w:hint="eastAsia" w:ascii="宋体" w:hAnsi="宋体" w:cs="宋体"/>
          <w:color w:val="auto"/>
          <w:kern w:val="0"/>
          <w:sz w:val="22"/>
          <w:szCs w:val="22"/>
          <w:highlight w:val="none"/>
          <w:lang w:eastAsia="zh-CN"/>
        </w:rPr>
        <w:t>6.</w:t>
      </w:r>
      <w:r>
        <w:rPr>
          <w:rFonts w:hint="eastAsia" w:ascii="宋体" w:hAnsi="宋体" w:cs="宋体"/>
          <w:color w:val="auto"/>
          <w:kern w:val="0"/>
          <w:sz w:val="22"/>
          <w:szCs w:val="22"/>
          <w:highlight w:val="none"/>
        </w:rPr>
        <w:t xml:space="preserve"> 本项目第三方参与验收：</w:t>
      </w:r>
      <w:r>
        <w:rPr>
          <w:rFonts w:hint="eastAsia" w:ascii="宋体" w:hAnsi="宋体" w:cs="宋体"/>
          <w:color w:val="auto"/>
          <w:kern w:val="0"/>
          <w:sz w:val="22"/>
          <w:szCs w:val="22"/>
          <w:highlight w:val="none"/>
          <w:u w:val="single"/>
          <w:lang w:val="en-US" w:eastAsia="zh-CN"/>
        </w:rPr>
        <w:t>如有，费用由乙方承担</w:t>
      </w:r>
      <w:r>
        <w:rPr>
          <w:rFonts w:hint="eastAsia" w:ascii="宋体" w:hAnsi="宋体" w:cs="宋体"/>
          <w:color w:val="auto"/>
          <w:kern w:val="0"/>
          <w:sz w:val="22"/>
          <w:szCs w:val="22"/>
          <w:highlight w:val="none"/>
          <w:u w:val="single"/>
        </w:rPr>
        <w:t>。</w:t>
      </w:r>
    </w:p>
    <w:p w14:paraId="45A3C4C2">
      <w:pPr>
        <w:keepNext w:val="0"/>
        <w:keepLines w:val="0"/>
        <w:pageBreakBefore w:val="0"/>
        <w:widowControl/>
        <w:shd w:val="clear" w:color="auto" w:fill="auto"/>
        <w:kinsoku/>
        <w:wordWrap/>
        <w:overflowPunct/>
        <w:topLinePunct w:val="0"/>
        <w:autoSpaceDE/>
        <w:autoSpaceDN/>
        <w:bidi w:val="0"/>
        <w:adjustRightInd/>
        <w:snapToGrid/>
        <w:spacing w:line="360" w:lineRule="auto"/>
        <w:ind w:firstLine="442" w:firstLineChars="200"/>
        <w:jc w:val="left"/>
        <w:textAlignment w:val="auto"/>
        <w:rPr>
          <w:rFonts w:hint="eastAsia" w:ascii="宋体" w:hAnsi="宋体" w:cs="宋体"/>
          <w:color w:val="auto"/>
          <w:kern w:val="0"/>
          <w:szCs w:val="21"/>
          <w:highlight w:val="none"/>
        </w:rPr>
      </w:pPr>
      <w:r>
        <w:rPr>
          <w:rFonts w:hint="eastAsia" w:ascii="宋体" w:hAnsi="宋体"/>
          <w:b/>
          <w:bCs/>
          <w:color w:val="auto"/>
          <w:sz w:val="22"/>
          <w:szCs w:val="22"/>
          <w:highlight w:val="none"/>
          <w:u w:val="single"/>
          <w:lang w:eastAsia="zh-CN"/>
        </w:rPr>
        <w:t>7.</w:t>
      </w:r>
      <w:r>
        <w:rPr>
          <w:rFonts w:hint="eastAsia" w:ascii="宋体" w:hAnsi="宋体" w:cs="宋体"/>
          <w:color w:val="auto"/>
          <w:kern w:val="0"/>
          <w:sz w:val="22"/>
          <w:szCs w:val="22"/>
          <w:highlight w:val="none"/>
        </w:rPr>
        <w:t xml:space="preserve"> 其他</w:t>
      </w:r>
      <w:r>
        <w:rPr>
          <w:rFonts w:hint="eastAsia" w:ascii="宋体" w:hAnsi="宋体" w:cs="宋体"/>
          <w:color w:val="auto"/>
          <w:kern w:val="0"/>
          <w:sz w:val="22"/>
          <w:szCs w:val="22"/>
          <w:highlight w:val="none"/>
          <w:u w:val="single"/>
        </w:rPr>
        <w:t xml:space="preserve">                                                                。</w:t>
      </w:r>
    </w:p>
    <w:p w14:paraId="6216FC95">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八、双方责任</w:t>
      </w:r>
    </w:p>
    <w:p w14:paraId="019FA2BD">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1.</w:t>
      </w:r>
      <w:r>
        <w:rPr>
          <w:rFonts w:hint="eastAsia" w:ascii="新宋体" w:hAnsi="新宋体" w:eastAsia="新宋体"/>
          <w:color w:val="auto"/>
          <w:sz w:val="22"/>
          <w:highlight w:val="none"/>
        </w:rPr>
        <w:t>甲方</w:t>
      </w:r>
    </w:p>
    <w:p w14:paraId="64B1408A">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（1）按合同规定向乙方支付货款。</w:t>
      </w:r>
    </w:p>
    <w:p w14:paraId="031FAAA7">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（2）组织对货物的验收。</w:t>
      </w:r>
    </w:p>
    <w:p w14:paraId="4C742A35">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2.</w:t>
      </w:r>
      <w:r>
        <w:rPr>
          <w:rFonts w:hint="eastAsia" w:ascii="新宋体" w:hAnsi="新宋体" w:eastAsia="新宋体"/>
          <w:color w:val="auto"/>
          <w:sz w:val="22"/>
          <w:highlight w:val="none"/>
        </w:rPr>
        <w:t>乙方</w:t>
      </w:r>
    </w:p>
    <w:p w14:paraId="2F4E9578">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（1）按合同要求提供货物和服务。</w:t>
      </w:r>
    </w:p>
    <w:p w14:paraId="644CA38C">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s="新宋体"/>
          <w:b/>
          <w:color w:val="auto"/>
          <w:sz w:val="22"/>
          <w:szCs w:val="22"/>
          <w:highlight w:val="none"/>
        </w:rPr>
      </w:pPr>
      <w:r>
        <w:rPr>
          <w:rFonts w:hint="eastAsia" w:ascii="新宋体" w:hAnsi="新宋体" w:eastAsia="新宋体"/>
          <w:color w:val="auto"/>
          <w:sz w:val="22"/>
          <w:highlight w:val="none"/>
        </w:rPr>
        <w:t>（2）对所提供的货物和服务质量问题无条件负责处理。</w:t>
      </w:r>
    </w:p>
    <w:p w14:paraId="6835DEF4">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九、乙方履约延误</w:t>
      </w:r>
    </w:p>
    <w:p w14:paraId="1AAB6B1F">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1.</w:t>
      </w:r>
      <w:r>
        <w:rPr>
          <w:rFonts w:hint="eastAsia" w:ascii="新宋体" w:hAnsi="新宋体" w:eastAsia="新宋体"/>
          <w:color w:val="auto"/>
          <w:sz w:val="22"/>
          <w:highlight w:val="none"/>
        </w:rPr>
        <w:t>乙方应按照合同规定的时间交货和提供服务。</w:t>
      </w:r>
    </w:p>
    <w:p w14:paraId="43DA1BA7">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2.</w:t>
      </w:r>
      <w:r>
        <w:rPr>
          <w:rFonts w:hint="eastAsia" w:ascii="新宋体" w:hAnsi="新宋体" w:eastAsia="新宋体"/>
          <w:color w:val="auto"/>
          <w:sz w:val="22"/>
          <w:highlight w:val="none"/>
        </w:rPr>
        <w:t>在履行合同过程中，如果乙方遇到妨碍按时交货和提供服务的情况时，应及时以书面形式将延误的事实、可能拖延的时间和原因通知甲方。甲方在收到乙方通知后，应尽快对情况进行分析评价，并确定是否同意延长交货时间以及是否收取误期赔偿费。延期应通过 修改合同的方式由双方认可。</w:t>
      </w:r>
    </w:p>
    <w:p w14:paraId="41FF0376">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3.</w:t>
      </w:r>
      <w:r>
        <w:rPr>
          <w:rFonts w:hint="eastAsia" w:ascii="新宋体" w:hAnsi="新宋体" w:eastAsia="新宋体"/>
          <w:color w:val="auto"/>
          <w:sz w:val="22"/>
          <w:highlight w:val="none"/>
        </w:rPr>
        <w:t>除了合同条款中不可抗力的情况外，除非延误是取得同意而不收取赔偿费，乙方延误交货或提供服务将按合同条款12条规定被收取误期赔偿费。</w:t>
      </w:r>
    </w:p>
    <w:p w14:paraId="0D945E40">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4.</w:t>
      </w:r>
      <w:r>
        <w:rPr>
          <w:rFonts w:hint="eastAsia" w:ascii="新宋体" w:hAnsi="新宋体" w:eastAsia="新宋体"/>
          <w:color w:val="auto"/>
          <w:sz w:val="22"/>
          <w:highlight w:val="none"/>
        </w:rPr>
        <w:t>所有提供的货物及验收都应服从甲方的统一安排。</w:t>
      </w:r>
    </w:p>
    <w:p w14:paraId="6479B9BA">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十、误期赔偿费</w:t>
      </w:r>
    </w:p>
    <w:p w14:paraId="003E420C">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除不可抗力外，如果乙方没有按照合同规定的时间交货和提供服务，甲方应在不影响合同项下的其他补救措施的情况下，从合同价款中扣除误期赔偿费。每延误一天的赔偿费按迟交货物交货价或未提供服务的服务费用的百分之零点二（0.2%</w:t>
      </w:r>
      <w:r>
        <w:rPr>
          <w:rFonts w:ascii="新宋体" w:hAnsi="新宋体" w:eastAsia="新宋体"/>
          <w:color w:val="auto"/>
          <w:sz w:val="22"/>
          <w:highlight w:val="none"/>
        </w:rPr>
        <w:t>）</w:t>
      </w:r>
      <w:r>
        <w:rPr>
          <w:rFonts w:hint="eastAsia" w:ascii="新宋体" w:hAnsi="新宋体" w:eastAsia="新宋体"/>
          <w:color w:val="auto"/>
          <w:sz w:val="22"/>
          <w:highlight w:val="none"/>
        </w:rPr>
        <w:t>计收，直至交货或提供服务为止。误期赔偿费最高限额为合同价的百分之十（10%）。一旦延到误期赔偿费的最高限额，甲有权解除合同，要求乙方赔偿损失，并承担违约责任。</w:t>
      </w:r>
    </w:p>
    <w:p w14:paraId="2C77E9B9">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十一、不可抗力</w:t>
      </w:r>
    </w:p>
    <w:p w14:paraId="16101598">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如果双方中任何一方由于战争、严重火灾、水灾、破坏性台风和地震以及其它经双方同意属不可抗力的事故，致使合同履行受阻时，履行合同期限应予延长，延长时限应相当于事故所影响的时间，或双方协商解决。</w:t>
      </w:r>
    </w:p>
    <w:p w14:paraId="2B97C6DC">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十二、税费</w:t>
      </w:r>
    </w:p>
    <w:p w14:paraId="72696438">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1.</w:t>
      </w:r>
      <w:r>
        <w:rPr>
          <w:rFonts w:hint="eastAsia" w:ascii="新宋体" w:hAnsi="新宋体" w:eastAsia="新宋体"/>
          <w:color w:val="auto"/>
          <w:sz w:val="22"/>
          <w:highlight w:val="none"/>
        </w:rPr>
        <w:t>根据国家现行税法对甲方征收的与本合同有关的一切费用由甲方承担。</w:t>
      </w:r>
    </w:p>
    <w:p w14:paraId="2AAAFED8">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2.</w:t>
      </w:r>
      <w:r>
        <w:rPr>
          <w:rFonts w:hint="eastAsia" w:ascii="新宋体" w:hAnsi="新宋体" w:eastAsia="新宋体"/>
          <w:color w:val="auto"/>
          <w:sz w:val="22"/>
          <w:highlight w:val="none"/>
        </w:rPr>
        <w:t>根据现行税法对乙方征收的与本合同有关的一切税费均由乙方承担。</w:t>
      </w:r>
    </w:p>
    <w:p w14:paraId="3581AA8C">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3.</w:t>
      </w:r>
      <w:r>
        <w:rPr>
          <w:rFonts w:hint="eastAsia" w:ascii="新宋体" w:hAnsi="新宋体" w:eastAsia="新宋体"/>
          <w:color w:val="auto"/>
          <w:sz w:val="22"/>
          <w:highlight w:val="none"/>
        </w:rPr>
        <w:t>在中国境外发生的与本合同执行有关的一切税费由乙方承担。</w:t>
      </w:r>
    </w:p>
    <w:p w14:paraId="4769F0C8">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十三、违约终止合同</w:t>
      </w:r>
    </w:p>
    <w:p w14:paraId="138AA34B">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1.</w:t>
      </w:r>
      <w:r>
        <w:rPr>
          <w:rFonts w:hint="eastAsia" w:ascii="新宋体" w:hAnsi="新宋体" w:eastAsia="新宋体"/>
          <w:color w:val="auto"/>
          <w:sz w:val="22"/>
          <w:highlight w:val="none"/>
        </w:rPr>
        <w:t>甲方在乙方违约的情况下，如果发生下列情况之一，</w:t>
      </w:r>
      <w:r>
        <w:rPr>
          <w:rFonts w:hint="eastAsia"/>
          <w:color w:val="auto"/>
          <w:highlight w:val="none"/>
        </w:rPr>
        <w:t>甲方有权解除合同，要求乙方赔偿损失，并承担违约责任</w:t>
      </w:r>
      <w:r>
        <w:rPr>
          <w:rFonts w:hint="eastAsia" w:ascii="新宋体" w:hAnsi="新宋体" w:eastAsia="新宋体"/>
          <w:color w:val="auto"/>
          <w:sz w:val="22"/>
          <w:highlight w:val="none"/>
        </w:rPr>
        <w:t>：</w:t>
      </w:r>
    </w:p>
    <w:p w14:paraId="195B938F">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（1）乙方未能在合同规定的期限内或甲方同意延长的期限内提供全部或部分货物；</w:t>
      </w:r>
    </w:p>
    <w:p w14:paraId="6E167DF0">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rPr>
        <w:t>（2）乙方未能履行合同规定的其他任何义务。乙方在收到甲方发出的违约通知后30天内，或经甲方书面认可延长的时间内未能纠正其过失。</w:t>
      </w:r>
    </w:p>
    <w:p w14:paraId="1BF5D12E">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2.</w:t>
      </w:r>
      <w:r>
        <w:rPr>
          <w:rFonts w:hint="eastAsia" w:ascii="新宋体" w:hAnsi="新宋体" w:eastAsia="新宋体"/>
          <w:color w:val="auto"/>
          <w:sz w:val="22"/>
          <w:highlight w:val="none"/>
        </w:rPr>
        <w:t xml:space="preserve"> 如果甲方根据上述的规定，终止了全部或部分合同，甲方可以依其认为适当的条件和方法购买与未交货物类似的货物或服务，乙方应承担甲方因购买类似货物或服务而产生的额外支出。但是，乙方应继续执行合同中未终止的部分。</w:t>
      </w:r>
    </w:p>
    <w:p w14:paraId="6149FB8B">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十四、履约保证金的罚没</w:t>
      </w:r>
    </w:p>
    <w:p w14:paraId="259EB770">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1.</w:t>
      </w:r>
      <w:r>
        <w:rPr>
          <w:rFonts w:hint="eastAsia" w:ascii="新宋体" w:hAnsi="新宋体" w:eastAsia="新宋体"/>
          <w:color w:val="auto"/>
          <w:sz w:val="22"/>
          <w:highlight w:val="none"/>
        </w:rPr>
        <w:t>如乙方未能履行合同规定的任何义务，甲方有权从履约保证金中得到</w:t>
      </w:r>
      <w:r>
        <w:rPr>
          <w:rFonts w:hint="eastAsia" w:ascii="新宋体" w:hAnsi="新宋体" w:eastAsia="新宋体"/>
          <w:color w:val="auto"/>
          <w:sz w:val="22"/>
          <w:highlight w:val="none"/>
          <w:lang w:eastAsia="zh-CN"/>
        </w:rPr>
        <w:t>赔偿</w:t>
      </w:r>
      <w:r>
        <w:rPr>
          <w:rFonts w:hint="eastAsia" w:ascii="新宋体" w:hAnsi="新宋体" w:eastAsia="新宋体"/>
          <w:color w:val="auto"/>
          <w:sz w:val="22"/>
          <w:highlight w:val="none"/>
        </w:rPr>
        <w:t>。</w:t>
      </w:r>
    </w:p>
    <w:p w14:paraId="5BE99C5F">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2.</w:t>
      </w:r>
      <w:r>
        <w:rPr>
          <w:rFonts w:hint="eastAsia" w:ascii="新宋体" w:hAnsi="新宋体" w:eastAsia="新宋体"/>
          <w:color w:val="auto"/>
          <w:sz w:val="22"/>
          <w:highlight w:val="none"/>
        </w:rPr>
        <w:t>如果乙方毫无理由地拖延交货或拒绝履行合同规定的任何义务，履约保证金将被没收，并加收违约赔偿金。</w:t>
      </w:r>
    </w:p>
    <w:p w14:paraId="2CBD512A">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3.</w:t>
      </w:r>
      <w:r>
        <w:rPr>
          <w:rFonts w:hint="eastAsia" w:ascii="新宋体" w:hAnsi="新宋体" w:eastAsia="新宋体"/>
          <w:color w:val="auto"/>
          <w:sz w:val="22"/>
          <w:highlight w:val="none"/>
        </w:rPr>
        <w:t>乙方提供的货物须和报价文件中所承诺的货物规格、数量、型号等相符（合同中另有规定除外）如不符，除追究乙方责任外，其履约保证金将被没收。</w:t>
      </w:r>
    </w:p>
    <w:p w14:paraId="264D60BA">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十五、争端的解决</w:t>
      </w:r>
    </w:p>
    <w:p w14:paraId="5AFBAFB6">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1.</w:t>
      </w:r>
      <w:r>
        <w:rPr>
          <w:rFonts w:hint="eastAsia" w:ascii="新宋体" w:hAnsi="新宋体" w:eastAsia="新宋体"/>
          <w:color w:val="auto"/>
          <w:sz w:val="22"/>
          <w:highlight w:val="none"/>
        </w:rPr>
        <w:t>合同实施或与合同有关的一切争端，甲乙双方应通过友好协商解决，如果协商仍得不到解决，任何一方可向</w:t>
      </w:r>
      <w:r>
        <w:rPr>
          <w:rFonts w:hint="eastAsia" w:ascii="新宋体" w:hAnsi="新宋体" w:eastAsia="新宋体"/>
          <w:color w:val="auto"/>
          <w:sz w:val="22"/>
          <w:highlight w:val="none"/>
          <w:lang w:eastAsia="zh-CN"/>
        </w:rPr>
        <w:t>甲方所在地人民法院提起诉讼</w:t>
      </w:r>
      <w:r>
        <w:rPr>
          <w:rFonts w:hint="eastAsia" w:ascii="新宋体" w:hAnsi="新宋体" w:eastAsia="新宋体"/>
          <w:color w:val="auto"/>
          <w:sz w:val="22"/>
          <w:highlight w:val="none"/>
        </w:rPr>
        <w:t>。</w:t>
      </w:r>
    </w:p>
    <w:p w14:paraId="05A364E4">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十六、转让和分包及货物不可替代</w:t>
      </w:r>
    </w:p>
    <w:p w14:paraId="0E910B14">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1.</w:t>
      </w:r>
      <w:r>
        <w:rPr>
          <w:rFonts w:hint="eastAsia" w:ascii="新宋体" w:hAnsi="新宋体" w:eastAsia="新宋体"/>
          <w:color w:val="auto"/>
          <w:sz w:val="22"/>
          <w:highlight w:val="none"/>
        </w:rPr>
        <w:t>未经甲方事先书面同意，乙方不得部分转让或全部转让和分包其履行合同的义务。</w:t>
      </w:r>
    </w:p>
    <w:p w14:paraId="337DDA60">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2.</w:t>
      </w:r>
      <w:r>
        <w:rPr>
          <w:rFonts w:hint="eastAsia" w:ascii="新宋体" w:hAnsi="新宋体" w:eastAsia="新宋体"/>
          <w:color w:val="auto"/>
          <w:sz w:val="22"/>
          <w:highlight w:val="none"/>
        </w:rPr>
        <w:t>货物不可替代，乙方在没有取得甲方的书面授权的情况下，不得将合同货物的生产制造转交其他生产厂商或以其他厂商的货物替代。</w:t>
      </w:r>
    </w:p>
    <w:p w14:paraId="7E54C61E">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十七、适用法律</w:t>
      </w:r>
    </w:p>
    <w:p w14:paraId="2CE70583">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color w:val="auto"/>
          <w:highlight w:val="none"/>
        </w:rPr>
      </w:pPr>
      <w:r>
        <w:rPr>
          <w:rFonts w:hint="eastAsia" w:ascii="新宋体" w:hAnsi="新宋体" w:eastAsia="新宋体"/>
          <w:color w:val="auto"/>
          <w:sz w:val="22"/>
          <w:highlight w:val="none"/>
        </w:rPr>
        <w:t>本合同按照中华人民共和国的法律进行解释。</w:t>
      </w:r>
    </w:p>
    <w:p w14:paraId="33F53B37">
      <w:pPr>
        <w:keepNext w:val="0"/>
        <w:keepLines w:val="0"/>
        <w:pageBreakBefore w:val="0"/>
        <w:shd w:val="clear" w:color="auto" w:fill="auto"/>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rPr>
      </w:pPr>
      <w:r>
        <w:rPr>
          <w:rFonts w:hint="eastAsia"/>
          <w:b/>
          <w:bCs/>
          <w:color w:val="auto"/>
          <w:highlight w:val="none"/>
        </w:rPr>
        <w:t>十八、合同生效及其他</w:t>
      </w:r>
    </w:p>
    <w:p w14:paraId="12B80778">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1.</w:t>
      </w:r>
      <w:r>
        <w:rPr>
          <w:rFonts w:hint="eastAsia" w:ascii="新宋体" w:hAnsi="新宋体" w:eastAsia="新宋体"/>
          <w:color w:val="auto"/>
          <w:sz w:val="22"/>
          <w:highlight w:val="none"/>
        </w:rPr>
        <w:t>合同应在双方签字盖章并在甲方收到乙方提供的履约保证金后开始生效。</w:t>
      </w:r>
    </w:p>
    <w:p w14:paraId="75109A1E">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color w:val="auto"/>
          <w:sz w:val="22"/>
          <w:highlight w:val="none"/>
        </w:rPr>
      </w:pPr>
      <w:r>
        <w:rPr>
          <w:rFonts w:hint="eastAsia" w:ascii="新宋体" w:hAnsi="新宋体" w:eastAsia="新宋体"/>
          <w:color w:val="auto"/>
          <w:sz w:val="22"/>
          <w:highlight w:val="none"/>
          <w:lang w:eastAsia="zh-CN"/>
        </w:rPr>
        <w:t>2.</w:t>
      </w:r>
      <w:r>
        <w:rPr>
          <w:rFonts w:hint="eastAsia" w:ascii="新宋体" w:hAnsi="新宋体" w:eastAsia="新宋体"/>
          <w:color w:val="auto"/>
          <w:sz w:val="22"/>
          <w:highlight w:val="none"/>
        </w:rPr>
        <w:t>如需修改或补充合同内容，经协商，双方应签署书面修改或补充协议，该协议将作为本合同的一个组成部分。</w:t>
      </w:r>
    </w:p>
    <w:p w14:paraId="583490A2">
      <w:pPr>
        <w:keepNext w:val="0"/>
        <w:keepLines w:val="0"/>
        <w:pageBreakBefore w:val="0"/>
        <w:shd w:val="clear" w:color="auto" w:fill="auto"/>
        <w:kinsoku/>
        <w:wordWrap/>
        <w:overflowPunct/>
        <w:topLinePunct w:val="0"/>
        <w:autoSpaceDE/>
        <w:autoSpaceDN/>
        <w:bidi w:val="0"/>
        <w:adjustRightInd/>
        <w:snapToGrid/>
        <w:spacing w:line="360" w:lineRule="auto"/>
        <w:ind w:firstLine="539" w:firstLineChars="245"/>
        <w:textAlignment w:val="auto"/>
        <w:rPr>
          <w:rFonts w:hint="eastAsia" w:ascii="新宋体" w:hAnsi="新宋体" w:eastAsia="新宋体"/>
          <w:b/>
          <w:bCs/>
          <w:color w:val="auto"/>
          <w:sz w:val="22"/>
          <w:highlight w:val="none"/>
        </w:rPr>
      </w:pPr>
      <w:r>
        <w:rPr>
          <w:rFonts w:hint="eastAsia" w:ascii="新宋体" w:hAnsi="新宋体" w:eastAsia="新宋体"/>
          <w:color w:val="auto"/>
          <w:sz w:val="22"/>
          <w:highlight w:val="none"/>
          <w:lang w:eastAsia="zh-CN"/>
        </w:rPr>
        <w:t>3.</w:t>
      </w:r>
      <w:r>
        <w:rPr>
          <w:rFonts w:hint="eastAsia" w:ascii="新宋体" w:hAnsi="新宋体" w:eastAsia="新宋体"/>
          <w:color w:val="auto"/>
          <w:sz w:val="22"/>
          <w:highlight w:val="none"/>
        </w:rPr>
        <w:t xml:space="preserve"> </w:t>
      </w:r>
      <w:r>
        <w:rPr>
          <w:rFonts w:hint="eastAsia" w:ascii="新宋体" w:hAnsi="新宋体" w:eastAsia="新宋体"/>
          <w:b/>
          <w:bCs/>
          <w:color w:val="auto"/>
          <w:sz w:val="22"/>
          <w:highlight w:val="none"/>
        </w:rPr>
        <w:t>合同壹式伍份，双方各贰份，壹份送采购代理公司备案。</w:t>
      </w:r>
    </w:p>
    <w:p w14:paraId="5B1E4522">
      <w:pPr>
        <w:keepNext w:val="0"/>
        <w:keepLines w:val="0"/>
        <w:pageBreakBefore w:val="0"/>
        <w:shd w:val="clear" w:color="auto" w:fill="auto"/>
        <w:tabs>
          <w:tab w:val="left" w:pos="360"/>
        </w:tabs>
        <w:kinsoku/>
        <w:wordWrap/>
        <w:overflowPunct/>
        <w:topLinePunct w:val="0"/>
        <w:autoSpaceDE/>
        <w:autoSpaceDN/>
        <w:bidi w:val="0"/>
        <w:adjustRightInd/>
        <w:snapToGrid/>
        <w:spacing w:line="360" w:lineRule="auto"/>
        <w:ind w:firstLine="550" w:firstLineChars="250"/>
        <w:textAlignment w:val="auto"/>
        <w:rPr>
          <w:rFonts w:hint="eastAsia" w:ascii="新宋体" w:hAnsi="新宋体" w:eastAsia="新宋体" w:cs="新宋体"/>
          <w:color w:val="auto"/>
          <w:sz w:val="22"/>
          <w:szCs w:val="22"/>
          <w:highlight w:val="none"/>
        </w:rPr>
      </w:pPr>
    </w:p>
    <w:p w14:paraId="2E0DA694">
      <w:pPr>
        <w:keepNext w:val="0"/>
        <w:keepLines w:val="0"/>
        <w:pageBreakBefore w:val="0"/>
        <w:shd w:val="clear" w:color="auto" w:fill="auto"/>
        <w:tabs>
          <w:tab w:val="left" w:pos="360"/>
        </w:tabs>
        <w:kinsoku/>
        <w:wordWrap/>
        <w:overflowPunct/>
        <w:topLinePunct w:val="0"/>
        <w:autoSpaceDE/>
        <w:autoSpaceDN/>
        <w:bidi w:val="0"/>
        <w:adjustRightInd/>
        <w:snapToGrid/>
        <w:spacing w:line="360" w:lineRule="auto"/>
        <w:ind w:firstLine="550" w:firstLineChars="250"/>
        <w:textAlignment w:val="auto"/>
        <w:rPr>
          <w:rFonts w:hint="eastAsia" w:ascii="新宋体" w:hAnsi="新宋体" w:eastAsia="新宋体" w:cs="新宋体"/>
          <w:color w:val="auto"/>
          <w:sz w:val="22"/>
          <w:szCs w:val="22"/>
          <w:highlight w:val="none"/>
        </w:rPr>
      </w:pPr>
    </w:p>
    <w:tbl>
      <w:tblPr>
        <w:tblStyle w:val="26"/>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2"/>
        <w:gridCol w:w="4495"/>
      </w:tblGrid>
      <w:tr w14:paraId="03461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62" w:type="dxa"/>
            <w:noWrap w:val="0"/>
            <w:vAlign w:val="center"/>
          </w:tcPr>
          <w:p w14:paraId="4FB6DA8E">
            <w:pPr>
              <w:jc w:val="center"/>
              <w:rPr>
                <w:rFonts w:hint="eastAsia" w:ascii="新宋体" w:hAnsi="新宋体" w:eastAsia="新宋体" w:cs="新宋体"/>
                <w:color w:val="auto"/>
                <w:sz w:val="22"/>
                <w:szCs w:val="22"/>
                <w:highlight w:val="none"/>
              </w:rPr>
            </w:pPr>
            <w:r>
              <w:rPr>
                <w:rFonts w:hint="eastAsia" w:ascii="宋体" w:hAnsi="宋体"/>
                <w:color w:val="auto"/>
                <w:sz w:val="22"/>
                <w:szCs w:val="22"/>
                <w:highlight w:val="none"/>
              </w:rPr>
              <w:t>甲</w:t>
            </w:r>
            <w:r>
              <w:rPr>
                <w:rFonts w:ascii="宋体" w:hAnsi="宋体"/>
                <w:color w:val="auto"/>
                <w:sz w:val="22"/>
                <w:szCs w:val="22"/>
                <w:highlight w:val="none"/>
              </w:rPr>
              <w:t xml:space="preserve">      </w:t>
            </w:r>
            <w:r>
              <w:rPr>
                <w:rFonts w:hint="eastAsia" w:ascii="宋体" w:hAnsi="宋体"/>
                <w:color w:val="auto"/>
                <w:sz w:val="22"/>
                <w:szCs w:val="22"/>
                <w:highlight w:val="none"/>
              </w:rPr>
              <w:t>方</w:t>
            </w:r>
          </w:p>
        </w:tc>
        <w:tc>
          <w:tcPr>
            <w:tcW w:w="4495" w:type="dxa"/>
            <w:noWrap w:val="0"/>
            <w:vAlign w:val="center"/>
          </w:tcPr>
          <w:p w14:paraId="633277B5">
            <w:pPr>
              <w:keepNext w:val="0"/>
              <w:keepLines w:val="0"/>
              <w:pageBreakBefore w:val="0"/>
              <w:wordWrap/>
              <w:topLinePunct w:val="0"/>
              <w:bidi w:val="0"/>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        方</w:t>
            </w:r>
          </w:p>
        </w:tc>
      </w:tr>
      <w:tr w14:paraId="2A4F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62" w:type="dxa"/>
            <w:noWrap w:val="0"/>
            <w:vAlign w:val="center"/>
          </w:tcPr>
          <w:p w14:paraId="07C55051">
            <w:pPr>
              <w:rPr>
                <w:rFonts w:hint="eastAsia" w:ascii="新宋体" w:hAnsi="新宋体" w:eastAsia="新宋体" w:cs="新宋体"/>
                <w:color w:val="auto"/>
                <w:sz w:val="22"/>
                <w:szCs w:val="22"/>
                <w:highlight w:val="none"/>
              </w:rPr>
            </w:pPr>
            <w:r>
              <w:rPr>
                <w:rFonts w:hint="eastAsia" w:ascii="宋体" w:hAnsi="宋体"/>
                <w:color w:val="auto"/>
                <w:sz w:val="22"/>
                <w:szCs w:val="22"/>
                <w:highlight w:val="none"/>
              </w:rPr>
              <w:t>单位名称：浙江东方职业技术学院</w:t>
            </w:r>
          </w:p>
        </w:tc>
        <w:tc>
          <w:tcPr>
            <w:tcW w:w="4495" w:type="dxa"/>
            <w:noWrap w:val="0"/>
            <w:vAlign w:val="center"/>
          </w:tcPr>
          <w:p w14:paraId="21FFADAB">
            <w:pPr>
              <w:keepNext w:val="0"/>
              <w:keepLines w:val="0"/>
              <w:pageBreakBefore w:val="0"/>
              <w:wordWrap/>
              <w:topLinePunct w:val="0"/>
              <w:bidi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单位名称：                    </w:t>
            </w:r>
          </w:p>
        </w:tc>
      </w:tr>
      <w:tr w14:paraId="7796C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62" w:type="dxa"/>
            <w:noWrap w:val="0"/>
            <w:vAlign w:val="center"/>
          </w:tcPr>
          <w:p w14:paraId="379064BF">
            <w:pPr>
              <w:rPr>
                <w:rFonts w:hint="eastAsia" w:ascii="新宋体" w:hAnsi="新宋体" w:eastAsia="新宋体" w:cs="新宋体"/>
                <w:color w:val="auto"/>
                <w:sz w:val="22"/>
                <w:szCs w:val="22"/>
                <w:highlight w:val="none"/>
              </w:rPr>
            </w:pPr>
            <w:r>
              <w:rPr>
                <w:rFonts w:hint="eastAsia" w:ascii="宋体" w:hAnsi="宋体"/>
                <w:color w:val="auto"/>
                <w:sz w:val="22"/>
                <w:szCs w:val="22"/>
                <w:highlight w:val="none"/>
              </w:rPr>
              <w:t>单位地址：温州经济技术开发区金海三道4</w:t>
            </w:r>
            <w:r>
              <w:rPr>
                <w:rFonts w:ascii="宋体" w:hAnsi="宋体"/>
                <w:color w:val="auto"/>
                <w:sz w:val="22"/>
                <w:szCs w:val="22"/>
                <w:highlight w:val="none"/>
              </w:rPr>
              <w:t>33</w:t>
            </w:r>
            <w:r>
              <w:rPr>
                <w:rFonts w:hint="eastAsia" w:ascii="宋体" w:hAnsi="宋体"/>
                <w:color w:val="auto"/>
                <w:sz w:val="22"/>
                <w:szCs w:val="22"/>
                <w:highlight w:val="none"/>
              </w:rPr>
              <w:t>号</w:t>
            </w:r>
          </w:p>
        </w:tc>
        <w:tc>
          <w:tcPr>
            <w:tcW w:w="4495" w:type="dxa"/>
            <w:noWrap w:val="0"/>
            <w:vAlign w:val="center"/>
          </w:tcPr>
          <w:p w14:paraId="28CC4177">
            <w:pPr>
              <w:keepNext w:val="0"/>
              <w:keepLines w:val="0"/>
              <w:pageBreakBefore w:val="0"/>
              <w:wordWrap/>
              <w:topLinePunct w:val="0"/>
              <w:bidi w:val="0"/>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单位地址：</w:t>
            </w:r>
          </w:p>
        </w:tc>
      </w:tr>
      <w:tr w14:paraId="512A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762" w:type="dxa"/>
            <w:noWrap w:val="0"/>
            <w:vAlign w:val="center"/>
          </w:tcPr>
          <w:p w14:paraId="212DC4A0">
            <w:pPr>
              <w:rPr>
                <w:rFonts w:hint="eastAsia" w:ascii="新宋体" w:hAnsi="新宋体" w:eastAsia="新宋体" w:cs="新宋体"/>
                <w:color w:val="auto"/>
                <w:sz w:val="22"/>
                <w:szCs w:val="22"/>
                <w:highlight w:val="none"/>
              </w:rPr>
            </w:pPr>
            <w:r>
              <w:rPr>
                <w:rFonts w:hint="eastAsia" w:ascii="宋体" w:hAnsi="宋体"/>
                <w:color w:val="auto"/>
                <w:sz w:val="22"/>
                <w:szCs w:val="22"/>
                <w:highlight w:val="none"/>
              </w:rPr>
              <w:t>法定</w:t>
            </w:r>
            <w:r>
              <w:rPr>
                <w:rFonts w:hint="eastAsia" w:ascii="宋体" w:hAnsi="宋体"/>
                <w:color w:val="auto"/>
                <w:sz w:val="22"/>
                <w:szCs w:val="22"/>
                <w:highlight w:val="none"/>
                <w:lang w:val="en-US" w:eastAsia="zh-CN"/>
              </w:rPr>
              <w:t>代表或授权代表</w:t>
            </w:r>
            <w:r>
              <w:rPr>
                <w:rFonts w:hint="eastAsia" w:ascii="宋体" w:hAnsi="宋体"/>
                <w:color w:val="auto"/>
                <w:sz w:val="22"/>
                <w:szCs w:val="22"/>
                <w:highlight w:val="none"/>
              </w:rPr>
              <w:t>：</w:t>
            </w:r>
          </w:p>
        </w:tc>
        <w:tc>
          <w:tcPr>
            <w:tcW w:w="4495" w:type="dxa"/>
            <w:noWrap w:val="0"/>
            <w:vAlign w:val="center"/>
          </w:tcPr>
          <w:p w14:paraId="6E047452">
            <w:pPr>
              <w:keepNext w:val="0"/>
              <w:keepLines w:val="0"/>
              <w:pageBreakBefore w:val="0"/>
              <w:wordWrap/>
              <w:topLinePunct w:val="0"/>
              <w:bidi w:val="0"/>
              <w:spacing w:line="460" w:lineRule="exact"/>
              <w:rPr>
                <w:rFonts w:hint="eastAsia" w:ascii="新宋体" w:hAnsi="新宋体" w:eastAsia="新宋体" w:cs="新宋体"/>
                <w:color w:val="auto"/>
                <w:sz w:val="22"/>
                <w:szCs w:val="22"/>
                <w:highlight w:val="none"/>
              </w:rPr>
            </w:pPr>
            <w:r>
              <w:rPr>
                <w:rFonts w:hint="eastAsia" w:ascii="宋体" w:hAnsi="宋体"/>
                <w:color w:val="auto"/>
                <w:sz w:val="22"/>
                <w:szCs w:val="22"/>
                <w:highlight w:val="none"/>
              </w:rPr>
              <w:t>法定</w:t>
            </w:r>
            <w:r>
              <w:rPr>
                <w:rFonts w:hint="eastAsia" w:ascii="宋体" w:hAnsi="宋体"/>
                <w:color w:val="auto"/>
                <w:sz w:val="22"/>
                <w:szCs w:val="22"/>
                <w:highlight w:val="none"/>
                <w:lang w:val="en-US" w:eastAsia="zh-CN"/>
              </w:rPr>
              <w:t>代表或授权代表</w:t>
            </w:r>
            <w:r>
              <w:rPr>
                <w:rFonts w:hint="eastAsia" w:ascii="宋体" w:hAnsi="宋体"/>
                <w:color w:val="auto"/>
                <w:sz w:val="22"/>
                <w:szCs w:val="22"/>
                <w:highlight w:val="none"/>
              </w:rPr>
              <w:t>：</w:t>
            </w:r>
          </w:p>
        </w:tc>
      </w:tr>
      <w:tr w14:paraId="502FC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762" w:type="dxa"/>
            <w:noWrap w:val="0"/>
            <w:vAlign w:val="center"/>
          </w:tcPr>
          <w:p w14:paraId="7C4939F7">
            <w:pPr>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 xml:space="preserve">项目经办人：             </w:t>
            </w:r>
          </w:p>
        </w:tc>
        <w:tc>
          <w:tcPr>
            <w:tcW w:w="4495" w:type="dxa"/>
            <w:noWrap w:val="0"/>
            <w:vAlign w:val="center"/>
          </w:tcPr>
          <w:p w14:paraId="591A8A36">
            <w:pPr>
              <w:keepNext w:val="0"/>
              <w:keepLines w:val="0"/>
              <w:pageBreakBefore w:val="0"/>
              <w:wordWrap/>
              <w:topLinePunct w:val="0"/>
              <w:bidi w:val="0"/>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 xml:space="preserve">项目经办人：       </w:t>
            </w:r>
          </w:p>
        </w:tc>
      </w:tr>
      <w:tr w14:paraId="2EAF6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762" w:type="dxa"/>
            <w:noWrap w:val="0"/>
            <w:vAlign w:val="center"/>
          </w:tcPr>
          <w:p w14:paraId="03956527">
            <w:pPr>
              <w:rPr>
                <w:rFonts w:hint="eastAsia" w:ascii="新宋体" w:hAnsi="新宋体" w:eastAsia="新宋体" w:cs="新宋体"/>
                <w:color w:val="auto"/>
                <w:sz w:val="22"/>
                <w:szCs w:val="22"/>
                <w:highlight w:val="none"/>
              </w:rPr>
            </w:pPr>
            <w:r>
              <w:rPr>
                <w:rFonts w:hint="eastAsia" w:ascii="宋体" w:hAnsi="宋体"/>
                <w:color w:val="auto"/>
                <w:sz w:val="22"/>
                <w:szCs w:val="22"/>
                <w:highlight w:val="none"/>
              </w:rPr>
              <w:t>电</w:t>
            </w:r>
            <w:r>
              <w:rPr>
                <w:rFonts w:ascii="宋体" w:hAnsi="宋体"/>
                <w:color w:val="auto"/>
                <w:sz w:val="22"/>
                <w:szCs w:val="22"/>
                <w:highlight w:val="none"/>
              </w:rPr>
              <w:t xml:space="preserve">    </w:t>
            </w:r>
            <w:r>
              <w:rPr>
                <w:rFonts w:hint="eastAsia" w:ascii="宋体" w:hAnsi="宋体"/>
                <w:color w:val="auto"/>
                <w:sz w:val="22"/>
                <w:szCs w:val="22"/>
                <w:highlight w:val="none"/>
              </w:rPr>
              <w:t>话： 0577-865</w:t>
            </w:r>
            <w:r>
              <w:rPr>
                <w:rFonts w:ascii="宋体" w:hAnsi="宋体"/>
                <w:color w:val="auto"/>
                <w:sz w:val="22"/>
                <w:szCs w:val="22"/>
                <w:highlight w:val="none"/>
              </w:rPr>
              <w:t>61078</w:t>
            </w:r>
          </w:p>
        </w:tc>
        <w:tc>
          <w:tcPr>
            <w:tcW w:w="4495" w:type="dxa"/>
            <w:noWrap w:val="0"/>
            <w:vAlign w:val="center"/>
          </w:tcPr>
          <w:p w14:paraId="18E55F45">
            <w:pPr>
              <w:keepNext w:val="0"/>
              <w:keepLines w:val="0"/>
              <w:pageBreakBefore w:val="0"/>
              <w:wordWrap/>
              <w:topLinePunct w:val="0"/>
              <w:bidi w:val="0"/>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电    话：</w:t>
            </w:r>
          </w:p>
        </w:tc>
      </w:tr>
      <w:tr w14:paraId="6417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62" w:type="dxa"/>
            <w:noWrap w:val="0"/>
            <w:vAlign w:val="center"/>
          </w:tcPr>
          <w:p w14:paraId="18BBF829">
            <w:pPr>
              <w:rPr>
                <w:rFonts w:hint="eastAsia" w:ascii="新宋体" w:hAnsi="新宋体" w:eastAsia="新宋体" w:cs="新宋体"/>
                <w:color w:val="auto"/>
                <w:sz w:val="22"/>
                <w:szCs w:val="22"/>
                <w:highlight w:val="none"/>
              </w:rPr>
            </w:pPr>
            <w:r>
              <w:rPr>
                <w:rFonts w:hint="eastAsia" w:ascii="宋体" w:hAnsi="宋体"/>
                <w:color w:val="auto"/>
                <w:sz w:val="22"/>
                <w:szCs w:val="22"/>
                <w:highlight w:val="none"/>
              </w:rPr>
              <w:t>开户银行：中国银行温州市分行南城支行</w:t>
            </w:r>
          </w:p>
        </w:tc>
        <w:tc>
          <w:tcPr>
            <w:tcW w:w="4495" w:type="dxa"/>
            <w:noWrap w:val="0"/>
            <w:vAlign w:val="center"/>
          </w:tcPr>
          <w:p w14:paraId="5247FC40">
            <w:pPr>
              <w:keepNext w:val="0"/>
              <w:keepLines w:val="0"/>
              <w:pageBreakBefore w:val="0"/>
              <w:wordWrap/>
              <w:topLinePunct w:val="0"/>
              <w:bidi w:val="0"/>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开户银行：</w:t>
            </w:r>
          </w:p>
        </w:tc>
      </w:tr>
      <w:tr w14:paraId="4250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2" w:type="dxa"/>
            <w:noWrap w:val="0"/>
            <w:vAlign w:val="center"/>
          </w:tcPr>
          <w:p w14:paraId="3F75F764">
            <w:pPr>
              <w:rPr>
                <w:rFonts w:hint="eastAsia" w:ascii="新宋体" w:hAnsi="新宋体" w:eastAsia="新宋体" w:cs="新宋体"/>
                <w:color w:val="auto"/>
                <w:sz w:val="22"/>
                <w:szCs w:val="22"/>
                <w:highlight w:val="none"/>
              </w:rPr>
            </w:pPr>
            <w:r>
              <w:rPr>
                <w:rFonts w:hint="eastAsia" w:ascii="宋体" w:hAnsi="宋体"/>
                <w:color w:val="auto"/>
                <w:sz w:val="22"/>
                <w:szCs w:val="22"/>
                <w:highlight w:val="none"/>
              </w:rPr>
              <w:t>账</w:t>
            </w:r>
            <w:r>
              <w:rPr>
                <w:rFonts w:ascii="宋体" w:hAnsi="宋体"/>
                <w:color w:val="auto"/>
                <w:sz w:val="22"/>
                <w:szCs w:val="22"/>
                <w:highlight w:val="none"/>
              </w:rPr>
              <w:t xml:space="preserve">    </w:t>
            </w:r>
            <w:r>
              <w:rPr>
                <w:rFonts w:hint="eastAsia" w:ascii="宋体" w:hAnsi="宋体"/>
                <w:color w:val="auto"/>
                <w:sz w:val="22"/>
                <w:szCs w:val="22"/>
                <w:highlight w:val="none"/>
              </w:rPr>
              <w:t>号：</w:t>
            </w:r>
            <w:r>
              <w:rPr>
                <w:rFonts w:ascii="宋体" w:hAnsi="宋体"/>
                <w:color w:val="auto"/>
                <w:sz w:val="22"/>
                <w:szCs w:val="22"/>
                <w:highlight w:val="none"/>
              </w:rPr>
              <w:t>397469008964</w:t>
            </w:r>
          </w:p>
        </w:tc>
        <w:tc>
          <w:tcPr>
            <w:tcW w:w="4495" w:type="dxa"/>
            <w:noWrap w:val="0"/>
            <w:vAlign w:val="center"/>
          </w:tcPr>
          <w:p w14:paraId="2568E840">
            <w:pPr>
              <w:keepNext w:val="0"/>
              <w:keepLines w:val="0"/>
              <w:pageBreakBefore w:val="0"/>
              <w:wordWrap/>
              <w:topLinePunct w:val="0"/>
              <w:bidi w:val="0"/>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 xml:space="preserve">账  </w:t>
            </w:r>
            <w:r>
              <w:rPr>
                <w:rFonts w:hint="eastAsia" w:ascii="宋体" w:hAnsi="宋体" w:eastAsia="宋体"/>
                <w:color w:val="auto"/>
                <w:sz w:val="22"/>
                <w:szCs w:val="22"/>
                <w:highlight w:val="none"/>
              </w:rPr>
              <w:t xml:space="preserve">  号：</w:t>
            </w:r>
          </w:p>
        </w:tc>
      </w:tr>
      <w:tr w14:paraId="3264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62" w:type="dxa"/>
            <w:noWrap w:val="0"/>
            <w:vAlign w:val="center"/>
          </w:tcPr>
          <w:p w14:paraId="03C3C366">
            <w:pPr>
              <w:rPr>
                <w:rFonts w:hint="eastAsia" w:ascii="新宋体" w:hAnsi="新宋体" w:eastAsia="新宋体" w:cs="新宋体"/>
                <w:color w:val="auto"/>
                <w:sz w:val="22"/>
                <w:szCs w:val="22"/>
                <w:highlight w:val="none"/>
              </w:rPr>
            </w:pPr>
            <w:r>
              <w:rPr>
                <w:rFonts w:hint="eastAsia" w:ascii="宋体" w:hAnsi="宋体"/>
                <w:color w:val="auto"/>
                <w:sz w:val="22"/>
                <w:szCs w:val="22"/>
                <w:highlight w:val="none"/>
              </w:rPr>
              <w:t>纳税人识别号：123303004728740058</w:t>
            </w:r>
          </w:p>
        </w:tc>
        <w:tc>
          <w:tcPr>
            <w:tcW w:w="4495" w:type="dxa"/>
            <w:noWrap w:val="0"/>
            <w:vAlign w:val="center"/>
          </w:tcPr>
          <w:p w14:paraId="43D23418">
            <w:pPr>
              <w:keepNext w:val="0"/>
              <w:keepLines w:val="0"/>
              <w:pageBreakBefore w:val="0"/>
              <w:wordWrap/>
              <w:topLinePunct w:val="0"/>
              <w:bidi w:val="0"/>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纳税人识别号：</w:t>
            </w:r>
          </w:p>
        </w:tc>
      </w:tr>
      <w:tr w14:paraId="7F6F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62" w:type="dxa"/>
            <w:noWrap w:val="0"/>
            <w:vAlign w:val="center"/>
          </w:tcPr>
          <w:p w14:paraId="3910CE96">
            <w:pPr>
              <w:rPr>
                <w:rFonts w:hint="eastAsia" w:ascii="新宋体" w:hAnsi="新宋体" w:eastAsia="新宋体" w:cs="新宋体"/>
                <w:color w:val="auto"/>
                <w:sz w:val="22"/>
                <w:szCs w:val="22"/>
                <w:highlight w:val="none"/>
              </w:rPr>
            </w:pPr>
            <w:r>
              <w:rPr>
                <w:rFonts w:hint="eastAsia" w:ascii="宋体" w:hAnsi="宋体"/>
                <w:color w:val="auto"/>
                <w:sz w:val="22"/>
                <w:szCs w:val="22"/>
                <w:highlight w:val="none"/>
              </w:rPr>
              <w:t>签订日期：</w:t>
            </w:r>
            <w:r>
              <w:rPr>
                <w:rFonts w:hint="eastAsia" w:ascii="宋体" w:hAnsi="宋体"/>
                <w:color w:val="auto"/>
                <w:sz w:val="22"/>
                <w:szCs w:val="22"/>
                <w:highlight w:val="none"/>
                <w:lang w:val="en-US" w:eastAsia="zh-CN"/>
              </w:rPr>
              <w:t>2025年  月  日</w:t>
            </w:r>
          </w:p>
        </w:tc>
        <w:tc>
          <w:tcPr>
            <w:tcW w:w="4495" w:type="dxa"/>
            <w:noWrap w:val="0"/>
            <w:vAlign w:val="center"/>
          </w:tcPr>
          <w:p w14:paraId="565E78C9">
            <w:pPr>
              <w:keepNext w:val="0"/>
              <w:keepLines w:val="0"/>
              <w:pageBreakBefore w:val="0"/>
              <w:wordWrap/>
              <w:topLinePunct w:val="0"/>
              <w:bidi w:val="0"/>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签订日期：</w:t>
            </w:r>
            <w:r>
              <w:rPr>
                <w:rFonts w:hint="eastAsia" w:ascii="宋体" w:hAnsi="宋体"/>
                <w:color w:val="auto"/>
                <w:sz w:val="22"/>
                <w:szCs w:val="22"/>
                <w:highlight w:val="none"/>
                <w:lang w:val="en-US" w:eastAsia="zh-CN"/>
              </w:rPr>
              <w:t>2025年  月  日</w:t>
            </w:r>
          </w:p>
        </w:tc>
      </w:tr>
    </w:tbl>
    <w:p w14:paraId="3DC82FA3">
      <w:pPr>
        <w:spacing w:line="360" w:lineRule="auto"/>
        <w:rPr>
          <w:rFonts w:ascii="宋体" w:hAnsi="宋体" w:cs="宋体"/>
          <w:color w:val="auto"/>
          <w:sz w:val="22"/>
          <w:szCs w:val="22"/>
          <w:highlight w:val="none"/>
        </w:rPr>
      </w:pPr>
      <w:r>
        <w:rPr>
          <w:rFonts w:hint="eastAsia" w:ascii="宋体" w:hAnsi="宋体" w:cs="宋体"/>
          <w:color w:val="auto"/>
          <w:sz w:val="22"/>
          <w:szCs w:val="22"/>
          <w:highlight w:val="none"/>
        </w:rPr>
        <w:t xml:space="preserve">                      </w:t>
      </w:r>
    </w:p>
    <w:p w14:paraId="43D85243">
      <w:pPr>
        <w:spacing w:line="360" w:lineRule="auto"/>
        <w:rPr>
          <w:rFonts w:ascii="宋体" w:hAnsi="宋体" w:cs="宋体"/>
          <w:color w:val="auto"/>
          <w:sz w:val="22"/>
          <w:szCs w:val="22"/>
          <w:highlight w:val="none"/>
        </w:rPr>
      </w:pPr>
    </w:p>
    <w:p w14:paraId="5CD8AA35">
      <w:pPr>
        <w:spacing w:line="360" w:lineRule="auto"/>
        <w:ind w:firstLine="442" w:firstLineChars="200"/>
        <w:outlineLvl w:val="0"/>
        <w:rPr>
          <w:rFonts w:ascii="宋体" w:hAnsi="宋体" w:cs="宋体"/>
          <w:color w:val="auto"/>
          <w:szCs w:val="21"/>
          <w:highlight w:val="none"/>
        </w:rPr>
        <w:sectPr>
          <w:headerReference r:id="rId8" w:type="default"/>
          <w:footerReference r:id="rId9" w:type="default"/>
          <w:type w:val="nextColumn"/>
          <w:pgSz w:w="11906" w:h="16838"/>
          <w:pgMar w:top="1134" w:right="1134" w:bottom="1134" w:left="1134" w:header="851" w:footer="851" w:gutter="0"/>
          <w:cols w:space="720" w:num="1"/>
          <w:docGrid w:linePitch="312" w:charSpace="0"/>
        </w:sectPr>
      </w:pPr>
      <w:r>
        <w:rPr>
          <w:rFonts w:hint="eastAsia" w:ascii="宋体" w:hAnsi="宋体" w:cs="宋体"/>
          <w:b/>
          <w:color w:val="auto"/>
          <w:sz w:val="22"/>
          <w:szCs w:val="22"/>
          <w:highlight w:val="none"/>
        </w:rPr>
        <w:t>注：</w:t>
      </w:r>
      <w:r>
        <w:rPr>
          <w:rFonts w:hint="eastAsia" w:ascii="宋体" w:hAnsi="宋体" w:cs="宋体"/>
          <w:b/>
          <w:color w:val="auto"/>
          <w:sz w:val="22"/>
          <w:szCs w:val="22"/>
          <w:highlight w:val="none"/>
          <w:u w:val="single"/>
        </w:rPr>
        <w:t>本合同仅为合同书样本，中标人需根据实际情况与采购人签订正式合同</w:t>
      </w:r>
    </w:p>
    <w:bookmarkEnd w:id="100"/>
    <w:p w14:paraId="72923661">
      <w:pPr>
        <w:pStyle w:val="4"/>
        <w:rPr>
          <w:rFonts w:hint="eastAsia" w:ascii="新宋体" w:hAnsi="新宋体" w:eastAsia="新宋体" w:cs="新宋体"/>
          <w:color w:val="auto"/>
          <w:sz w:val="36"/>
          <w:szCs w:val="36"/>
          <w:highlight w:val="none"/>
        </w:rPr>
      </w:pPr>
      <w:bookmarkStart w:id="103" w:name="_Toc11310"/>
      <w:r>
        <w:rPr>
          <w:rFonts w:hint="eastAsia" w:ascii="新宋体" w:hAnsi="新宋体" w:eastAsia="新宋体" w:cs="新宋体"/>
          <w:color w:val="auto"/>
          <w:sz w:val="36"/>
          <w:szCs w:val="36"/>
          <w:highlight w:val="none"/>
        </w:rPr>
        <w:t>第三部分   投标文件格式</w:t>
      </w:r>
      <w:bookmarkEnd w:id="99"/>
      <w:bookmarkEnd w:id="103"/>
    </w:p>
    <w:p w14:paraId="6E3D16BB">
      <w:pPr>
        <w:spacing w:before="120" w:beforeLines="50" w:after="120" w:afterLine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（资格审查资料封面，供参考）</w:t>
      </w:r>
    </w:p>
    <w:p w14:paraId="389DE890">
      <w:pPr>
        <w:rPr>
          <w:rFonts w:hint="eastAsia" w:ascii="新宋体" w:hAnsi="新宋体" w:eastAsia="新宋体" w:cs="新宋体"/>
          <w:color w:val="auto"/>
          <w:highlight w:val="none"/>
        </w:rPr>
      </w:pPr>
    </w:p>
    <w:p w14:paraId="1CEFB40E">
      <w:pPr>
        <w:rPr>
          <w:rFonts w:hint="eastAsia" w:ascii="新宋体" w:hAnsi="新宋体" w:eastAsia="新宋体" w:cs="新宋体"/>
          <w:color w:val="auto"/>
          <w:highlight w:val="none"/>
        </w:rPr>
      </w:pPr>
    </w:p>
    <w:p w14:paraId="32DB4B76">
      <w:pPr>
        <w:rPr>
          <w:rFonts w:hint="eastAsia" w:ascii="新宋体" w:hAnsi="新宋体" w:eastAsia="新宋体" w:cs="新宋体"/>
          <w:color w:val="auto"/>
          <w:highlight w:val="none"/>
        </w:rPr>
      </w:pPr>
    </w:p>
    <w:p w14:paraId="21EAC78F">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（项目名称）              </w:t>
      </w:r>
      <w:r>
        <w:rPr>
          <w:rFonts w:hint="eastAsia" w:ascii="新宋体" w:hAnsi="新宋体" w:eastAsia="新宋体" w:cs="新宋体"/>
          <w:color w:val="auto"/>
          <w:sz w:val="28"/>
          <w:szCs w:val="28"/>
          <w:highlight w:val="none"/>
        </w:rPr>
        <w:t>投标文件</w:t>
      </w:r>
    </w:p>
    <w:p w14:paraId="46F67CAF">
      <w:pPr>
        <w:rPr>
          <w:rFonts w:hint="eastAsia" w:ascii="新宋体" w:hAnsi="新宋体" w:eastAsia="新宋体" w:cs="新宋体"/>
          <w:color w:val="auto"/>
          <w:sz w:val="28"/>
          <w:szCs w:val="28"/>
          <w:highlight w:val="none"/>
        </w:rPr>
      </w:pPr>
    </w:p>
    <w:p w14:paraId="791A2734">
      <w:pPr>
        <w:rPr>
          <w:rFonts w:hint="eastAsia" w:ascii="新宋体" w:hAnsi="新宋体" w:eastAsia="新宋体" w:cs="新宋体"/>
          <w:color w:val="auto"/>
          <w:sz w:val="28"/>
          <w:szCs w:val="28"/>
          <w:highlight w:val="none"/>
        </w:rPr>
      </w:pPr>
    </w:p>
    <w:p w14:paraId="7B5EE9BA">
      <w:pPr>
        <w:pStyle w:val="2"/>
        <w:ind w:firstLine="280"/>
        <w:rPr>
          <w:rFonts w:hint="eastAsia" w:ascii="新宋体" w:hAnsi="新宋体" w:eastAsia="新宋体" w:cs="新宋体"/>
          <w:color w:val="auto"/>
          <w:sz w:val="28"/>
          <w:szCs w:val="28"/>
          <w:highlight w:val="none"/>
        </w:rPr>
      </w:pPr>
    </w:p>
    <w:p w14:paraId="03397DE2">
      <w:pPr>
        <w:pStyle w:val="2"/>
        <w:ind w:firstLine="280"/>
        <w:rPr>
          <w:rFonts w:hint="eastAsia" w:ascii="新宋体" w:hAnsi="新宋体" w:eastAsia="新宋体" w:cs="新宋体"/>
          <w:color w:val="auto"/>
          <w:sz w:val="28"/>
          <w:szCs w:val="28"/>
          <w:highlight w:val="none"/>
        </w:rPr>
      </w:pPr>
    </w:p>
    <w:p w14:paraId="4F9EFD93">
      <w:pPr>
        <w:rPr>
          <w:rFonts w:hint="eastAsia" w:ascii="新宋体" w:hAnsi="新宋体" w:eastAsia="新宋体" w:cs="新宋体"/>
          <w:color w:val="auto"/>
          <w:sz w:val="28"/>
          <w:szCs w:val="28"/>
          <w:highlight w:val="none"/>
        </w:rPr>
      </w:pPr>
    </w:p>
    <w:p w14:paraId="2172CC45">
      <w:pPr>
        <w:rPr>
          <w:rFonts w:hint="eastAsia" w:ascii="新宋体" w:hAnsi="新宋体" w:eastAsia="新宋体" w:cs="新宋体"/>
          <w:color w:val="auto"/>
          <w:sz w:val="28"/>
          <w:szCs w:val="28"/>
          <w:highlight w:val="none"/>
        </w:rPr>
      </w:pPr>
    </w:p>
    <w:p w14:paraId="4C1331B5">
      <w:pPr>
        <w:jc w:val="center"/>
        <w:rPr>
          <w:rFonts w:hint="eastAsia" w:ascii="新宋体" w:hAnsi="新宋体" w:eastAsia="新宋体" w:cs="新宋体"/>
          <w:color w:val="auto"/>
          <w:sz w:val="52"/>
          <w:szCs w:val="52"/>
          <w:highlight w:val="none"/>
        </w:rPr>
      </w:pPr>
      <w:r>
        <w:rPr>
          <w:rFonts w:hint="eastAsia" w:ascii="新宋体" w:hAnsi="新宋体" w:eastAsia="新宋体" w:cs="新宋体"/>
          <w:color w:val="auto"/>
          <w:sz w:val="52"/>
          <w:szCs w:val="52"/>
          <w:highlight w:val="none"/>
        </w:rPr>
        <w:t>资格审查资料</w:t>
      </w:r>
    </w:p>
    <w:p w14:paraId="1766C0E7">
      <w:pPr>
        <w:spacing w:line="360" w:lineRule="auto"/>
        <w:rPr>
          <w:rFonts w:hint="eastAsia" w:ascii="新宋体" w:hAnsi="新宋体" w:eastAsia="新宋体" w:cs="新宋体"/>
          <w:color w:val="auto"/>
          <w:szCs w:val="21"/>
          <w:highlight w:val="none"/>
        </w:rPr>
      </w:pPr>
    </w:p>
    <w:p w14:paraId="5C0310B8">
      <w:pPr>
        <w:spacing w:line="360" w:lineRule="auto"/>
        <w:rPr>
          <w:rFonts w:hint="eastAsia" w:ascii="新宋体" w:hAnsi="新宋体" w:eastAsia="新宋体" w:cs="新宋体"/>
          <w:color w:val="auto"/>
          <w:szCs w:val="21"/>
          <w:highlight w:val="none"/>
        </w:rPr>
      </w:pPr>
    </w:p>
    <w:p w14:paraId="7CA54286">
      <w:pPr>
        <w:spacing w:line="360" w:lineRule="auto"/>
        <w:rPr>
          <w:rFonts w:hint="eastAsia" w:ascii="新宋体" w:hAnsi="新宋体" w:eastAsia="新宋体" w:cs="新宋体"/>
          <w:color w:val="auto"/>
          <w:szCs w:val="21"/>
          <w:highlight w:val="none"/>
        </w:rPr>
      </w:pPr>
    </w:p>
    <w:p w14:paraId="6AF60D28">
      <w:pPr>
        <w:spacing w:line="360" w:lineRule="auto"/>
        <w:rPr>
          <w:rFonts w:hint="eastAsia" w:ascii="新宋体" w:hAnsi="新宋体" w:eastAsia="新宋体" w:cs="新宋体"/>
          <w:color w:val="auto"/>
          <w:szCs w:val="21"/>
          <w:highlight w:val="none"/>
        </w:rPr>
      </w:pPr>
    </w:p>
    <w:p w14:paraId="7C63A8BF">
      <w:pPr>
        <w:spacing w:line="360" w:lineRule="auto"/>
        <w:rPr>
          <w:rFonts w:hint="eastAsia" w:ascii="新宋体" w:hAnsi="新宋体" w:eastAsia="新宋体" w:cs="新宋体"/>
          <w:color w:val="auto"/>
          <w:szCs w:val="21"/>
          <w:highlight w:val="none"/>
        </w:rPr>
      </w:pPr>
    </w:p>
    <w:p w14:paraId="164D92E9">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投标供应商：</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14:paraId="3909C14C">
      <w:pPr>
        <w:rPr>
          <w:rFonts w:hint="eastAsia" w:ascii="新宋体" w:hAnsi="新宋体" w:eastAsia="新宋体" w:cs="新宋体"/>
          <w:color w:val="auto"/>
          <w:sz w:val="28"/>
          <w:szCs w:val="28"/>
          <w:highlight w:val="none"/>
          <w:u w:val="single"/>
        </w:rPr>
      </w:pPr>
    </w:p>
    <w:p w14:paraId="4649537B">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法定代表人或其委托代理人：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14:paraId="06146B7B">
      <w:pPr>
        <w:rPr>
          <w:rFonts w:hint="eastAsia" w:ascii="新宋体" w:hAnsi="新宋体" w:eastAsia="新宋体" w:cs="新宋体"/>
          <w:color w:val="auto"/>
          <w:sz w:val="28"/>
          <w:szCs w:val="28"/>
          <w:highlight w:val="none"/>
        </w:rPr>
      </w:pPr>
    </w:p>
    <w:p w14:paraId="586C0055">
      <w:pPr>
        <w:overflowPunct w:val="0"/>
        <w:spacing w:line="380" w:lineRule="exact"/>
        <w:ind w:firstLine="2738" w:firstLineChars="978"/>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14:paraId="4255B4FD">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6D0D2E44">
      <w:pPr>
        <w:jc w:val="center"/>
        <w:rPr>
          <w:rFonts w:hint="eastAsia"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目    录</w:t>
      </w:r>
    </w:p>
    <w:p w14:paraId="2DB4D72C">
      <w:pPr>
        <w:numPr>
          <w:ilvl w:val="0"/>
          <w:numId w:val="17"/>
        </w:numPr>
        <w:spacing w:line="588"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法定代表人授权书和授权代表人有效身份证明；</w:t>
      </w:r>
    </w:p>
    <w:p w14:paraId="0DAF7F31">
      <w:pPr>
        <w:numPr>
          <w:ilvl w:val="0"/>
          <w:numId w:val="17"/>
        </w:numPr>
        <w:spacing w:line="588"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营业执照(或事业法人登记证书或其它工商等登记证明材料)；</w:t>
      </w:r>
    </w:p>
    <w:p w14:paraId="20AF23DD">
      <w:pPr>
        <w:numPr>
          <w:ilvl w:val="0"/>
          <w:numId w:val="17"/>
        </w:numPr>
        <w:spacing w:line="588"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资格条件承诺函</w:t>
      </w:r>
    </w:p>
    <w:p w14:paraId="79FF9D70">
      <w:pPr>
        <w:numPr>
          <w:ilvl w:val="0"/>
          <w:numId w:val="17"/>
        </w:numPr>
        <w:spacing w:line="588" w:lineRule="exact"/>
        <w:rPr>
          <w:rFonts w:hint="eastAsia" w:ascii="宋体" w:hAnsi="宋体" w:cs="宋体"/>
          <w:color w:val="auto"/>
          <w:sz w:val="22"/>
          <w:highlight w:val="none"/>
        </w:rPr>
      </w:pPr>
      <w:r>
        <w:rPr>
          <w:rFonts w:hint="eastAsia" w:ascii="宋体" w:hAnsi="宋体" w:cs="宋体"/>
          <w:color w:val="auto"/>
          <w:sz w:val="22"/>
          <w:szCs w:val="22"/>
          <w:highlight w:val="none"/>
        </w:rPr>
        <w:t>申请材料真实性声明</w:t>
      </w:r>
    </w:p>
    <w:p w14:paraId="5E47CED1">
      <w:pPr>
        <w:numPr>
          <w:ilvl w:val="0"/>
          <w:numId w:val="17"/>
        </w:numPr>
        <w:spacing w:line="588" w:lineRule="exact"/>
        <w:rPr>
          <w:rFonts w:hint="eastAsia" w:ascii="宋体" w:hAnsi="宋体" w:cs="宋体"/>
          <w:color w:val="auto"/>
          <w:sz w:val="22"/>
          <w:highlight w:val="none"/>
        </w:rPr>
      </w:pPr>
      <w:r>
        <w:rPr>
          <w:rFonts w:hint="eastAsia" w:ascii="宋体" w:hAnsi="宋体" w:cs="宋体"/>
          <w:color w:val="auto"/>
          <w:sz w:val="22"/>
          <w:szCs w:val="22"/>
          <w:highlight w:val="none"/>
        </w:rPr>
        <w:t>投标保证金缴纳凭证,最终以实际到账为准（加盖公章）</w:t>
      </w:r>
    </w:p>
    <w:p w14:paraId="03D60EF5">
      <w:pPr>
        <w:spacing w:line="588" w:lineRule="exact"/>
        <w:ind w:left="420"/>
        <w:rPr>
          <w:rFonts w:hint="eastAsia" w:ascii="新宋体" w:hAnsi="新宋体" w:eastAsia="新宋体" w:cs="新宋体"/>
          <w:color w:val="auto"/>
          <w:sz w:val="22"/>
          <w:szCs w:val="22"/>
          <w:highlight w:val="none"/>
        </w:rPr>
      </w:pPr>
    </w:p>
    <w:p w14:paraId="4608771D">
      <w:pPr>
        <w:widowControl/>
        <w:adjustRightInd w:val="0"/>
        <w:snapToGrid w:val="0"/>
        <w:spacing w:line="360" w:lineRule="auto"/>
        <w:jc w:val="center"/>
        <w:rPr>
          <w:rFonts w:hint="eastAsia" w:ascii="新宋体" w:hAnsi="新宋体" w:eastAsia="新宋体" w:cs="新宋体"/>
          <w:b/>
          <w:color w:val="auto"/>
          <w:kern w:val="0"/>
          <w:sz w:val="28"/>
          <w:szCs w:val="28"/>
          <w:highlight w:val="none"/>
        </w:rPr>
      </w:pPr>
      <w:r>
        <w:rPr>
          <w:rFonts w:hint="eastAsia" w:ascii="新宋体" w:hAnsi="新宋体" w:eastAsia="新宋体" w:cs="新宋体"/>
          <w:b/>
          <w:bCs/>
          <w:color w:val="auto"/>
          <w:sz w:val="32"/>
          <w:szCs w:val="32"/>
          <w:highlight w:val="none"/>
        </w:rPr>
        <w:br w:type="page"/>
      </w:r>
      <w:r>
        <w:rPr>
          <w:rFonts w:hint="eastAsia" w:ascii="新宋体" w:hAnsi="新宋体" w:eastAsia="新宋体" w:cs="新宋体"/>
          <w:b/>
          <w:color w:val="auto"/>
          <w:kern w:val="0"/>
          <w:sz w:val="28"/>
          <w:szCs w:val="28"/>
          <w:highlight w:val="none"/>
        </w:rPr>
        <w:t>法定代表人授权书</w:t>
      </w:r>
    </w:p>
    <w:p w14:paraId="4DCE7085">
      <w:pPr>
        <w:spacing w:line="420" w:lineRule="exact"/>
        <w:rPr>
          <w:rFonts w:hint="eastAsia" w:ascii="新宋体" w:hAnsi="新宋体" w:eastAsia="新宋体" w:cs="新宋体"/>
          <w:b/>
          <w:color w:val="auto"/>
          <w:sz w:val="22"/>
          <w:szCs w:val="22"/>
          <w:highlight w:val="none"/>
        </w:rPr>
      </w:pPr>
    </w:p>
    <w:p w14:paraId="03BF881F">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浙江东方职业技术学院</w:t>
      </w:r>
      <w:r>
        <w:rPr>
          <w:rFonts w:hint="eastAsia" w:ascii="新宋体" w:hAnsi="新宋体" w:eastAsia="新宋体" w:cs="新宋体"/>
          <w:color w:val="auto"/>
          <w:sz w:val="22"/>
          <w:szCs w:val="22"/>
          <w:highlight w:val="none"/>
        </w:rPr>
        <w:t>：</w:t>
      </w:r>
    </w:p>
    <w:p w14:paraId="65D5ACA8">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温州市智信招标代理有限公司：</w:t>
      </w:r>
    </w:p>
    <w:p w14:paraId="514D86FE">
      <w:pPr>
        <w:spacing w:line="460" w:lineRule="exact"/>
        <w:rPr>
          <w:rFonts w:hint="eastAsia" w:ascii="新宋体" w:hAnsi="新宋体" w:eastAsia="新宋体" w:cs="新宋体"/>
          <w:color w:val="auto"/>
          <w:sz w:val="22"/>
          <w:szCs w:val="22"/>
          <w:highlight w:val="none"/>
          <w:u w:val="single"/>
        </w:rPr>
      </w:pPr>
    </w:p>
    <w:p w14:paraId="26408F93">
      <w:pPr>
        <w:spacing w:line="460" w:lineRule="exact"/>
        <w:ind w:firstLine="550" w:firstLineChars="2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（投标供应商全称）法定代表人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（全权代表姓名）为全权代表，参加贵方组织的</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（采购项目名称、编号）的采购活动，全权代表我方处理采购活动中的一切事宜。</w:t>
      </w:r>
    </w:p>
    <w:p w14:paraId="15D0B0F4">
      <w:pPr>
        <w:spacing w:line="460" w:lineRule="exact"/>
        <w:ind w:firstLine="2955"/>
        <w:rPr>
          <w:rFonts w:hint="eastAsia" w:ascii="新宋体" w:hAnsi="新宋体" w:eastAsia="新宋体" w:cs="新宋体"/>
          <w:color w:val="auto"/>
          <w:sz w:val="22"/>
          <w:szCs w:val="22"/>
          <w:highlight w:val="none"/>
        </w:rPr>
      </w:pPr>
    </w:p>
    <w:p w14:paraId="02213D1D">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p w14:paraId="5032250D">
      <w:pPr>
        <w:spacing w:line="460" w:lineRule="exact"/>
        <w:ind w:firstLine="3971" w:firstLineChars="180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 (签字或盖章)：</w:t>
      </w:r>
    </w:p>
    <w:p w14:paraId="2EC44150">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投标供应商全称（公章）：</w:t>
      </w:r>
    </w:p>
    <w:p w14:paraId="3A0A5F86">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日期：     年    月   日</w:t>
      </w:r>
    </w:p>
    <w:p w14:paraId="3AFF59C4">
      <w:pPr>
        <w:spacing w:line="460" w:lineRule="exact"/>
        <w:rPr>
          <w:rFonts w:hint="eastAsia" w:ascii="新宋体" w:hAnsi="新宋体" w:eastAsia="新宋体" w:cs="新宋体"/>
          <w:color w:val="auto"/>
          <w:sz w:val="22"/>
          <w:szCs w:val="22"/>
          <w:highlight w:val="none"/>
        </w:rPr>
      </w:pPr>
    </w:p>
    <w:p w14:paraId="712395FB">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w:t>
      </w:r>
    </w:p>
    <w:p w14:paraId="7D3DBFF5">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授权代表姓名：</w:t>
      </w:r>
    </w:p>
    <w:p w14:paraId="44FA0AEC">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职务：</w:t>
      </w:r>
    </w:p>
    <w:p w14:paraId="4781CF62">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详细通讯地址：</w:t>
      </w:r>
    </w:p>
    <w:p w14:paraId="59FDBFA9">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电话：</w:t>
      </w:r>
    </w:p>
    <w:p w14:paraId="76AEA729">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传真：</w:t>
      </w:r>
    </w:p>
    <w:p w14:paraId="254FB7E6">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w:t>
      </w:r>
    </w:p>
    <w:tbl>
      <w:tblPr>
        <w:tblStyle w:val="26"/>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4"/>
      </w:tblGrid>
      <w:tr w14:paraId="72A1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864" w:type="dxa"/>
            <w:vAlign w:val="center"/>
          </w:tcPr>
          <w:p w14:paraId="7E4EAA86">
            <w:pPr>
              <w:spacing w:line="380" w:lineRule="exact"/>
              <w:jc w:val="cente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投标供应商代表身份证复印件</w:t>
            </w:r>
          </w:p>
          <w:p w14:paraId="2AF0CAD2">
            <w:pPr>
              <w:spacing w:line="380" w:lineRule="exact"/>
              <w:jc w:val="center"/>
              <w:rPr>
                <w:rFonts w:hint="eastAsia" w:ascii="新宋体" w:hAnsi="新宋体" w:eastAsia="新宋体" w:cs="新宋体"/>
                <w:b/>
                <w:bCs/>
                <w:color w:val="auto"/>
                <w:sz w:val="28"/>
                <w:highlight w:val="none"/>
              </w:rPr>
            </w:pPr>
          </w:p>
        </w:tc>
      </w:tr>
    </w:tbl>
    <w:p w14:paraId="3DED45AA">
      <w:pPr>
        <w:pStyle w:val="4"/>
        <w:jc w:val="left"/>
        <w:rPr>
          <w:rFonts w:hint="eastAsia" w:ascii="新宋体" w:hAnsi="新宋体" w:eastAsia="新宋体" w:cs="新宋体"/>
          <w:b w:val="0"/>
          <w:color w:val="auto"/>
          <w:szCs w:val="21"/>
          <w:highlight w:val="none"/>
        </w:rPr>
      </w:pPr>
      <w:r>
        <w:rPr>
          <w:rFonts w:hint="eastAsia" w:ascii="新宋体" w:hAnsi="新宋体" w:eastAsia="新宋体" w:cs="新宋体"/>
          <w:color w:val="auto"/>
          <w:sz w:val="22"/>
          <w:szCs w:val="22"/>
          <w:highlight w:val="none"/>
        </w:rPr>
        <w:br w:type="page"/>
      </w:r>
    </w:p>
    <w:p w14:paraId="5296614D">
      <w:pPr>
        <w:pStyle w:val="4"/>
        <w:rPr>
          <w:rFonts w:hint="eastAsia" w:ascii="宋体" w:hAnsi="宋体" w:eastAsia="宋体" w:cs="宋体"/>
          <w:color w:val="auto"/>
          <w:kern w:val="0"/>
          <w:sz w:val="28"/>
          <w:szCs w:val="28"/>
          <w:highlight w:val="none"/>
        </w:rPr>
      </w:pPr>
      <w:bookmarkStart w:id="104" w:name="_Toc19422"/>
      <w:bookmarkStart w:id="105" w:name="_Toc5222"/>
      <w:bookmarkStart w:id="106" w:name="_Toc9801"/>
      <w:bookmarkStart w:id="107" w:name="_Toc25466"/>
      <w:r>
        <w:rPr>
          <w:rFonts w:hint="eastAsia" w:ascii="宋体" w:hAnsi="宋体" w:eastAsia="宋体" w:cs="宋体"/>
          <w:color w:val="auto"/>
          <w:kern w:val="0"/>
          <w:sz w:val="28"/>
          <w:szCs w:val="28"/>
          <w:highlight w:val="none"/>
        </w:rPr>
        <w:t>资格条件承诺函</w:t>
      </w:r>
      <w:bookmarkEnd w:id="104"/>
      <w:bookmarkEnd w:id="105"/>
      <w:bookmarkEnd w:id="106"/>
      <w:bookmarkEnd w:id="107"/>
    </w:p>
    <w:p w14:paraId="6E1F98F1">
      <w:pPr>
        <w:spacing w:line="440" w:lineRule="exact"/>
        <w:ind w:right="-153" w:rightChars="-73"/>
        <w:rPr>
          <w:rFonts w:hint="eastAsia" w:ascii="宋体" w:hAnsi="宋体" w:cs="宋体"/>
          <w:color w:val="auto"/>
          <w:sz w:val="22"/>
          <w:szCs w:val="22"/>
          <w:highlight w:val="none"/>
        </w:rPr>
      </w:pPr>
    </w:p>
    <w:p w14:paraId="4D3B4AD0">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eastAsia="zh-CN"/>
        </w:rPr>
        <w:t>浙江东方职业技术学院</w:t>
      </w:r>
      <w:r>
        <w:rPr>
          <w:rFonts w:hint="eastAsia" w:ascii="宋体" w:hAnsi="宋体" w:cs="宋体"/>
          <w:color w:val="auto"/>
          <w:sz w:val="22"/>
          <w:szCs w:val="22"/>
          <w:highlight w:val="none"/>
        </w:rPr>
        <w:t>：</w:t>
      </w:r>
    </w:p>
    <w:p w14:paraId="76B1F1BD">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温州市智信招标代理有限公司：</w:t>
      </w:r>
    </w:p>
    <w:p w14:paraId="2393DA3F">
      <w:pPr>
        <w:shd w:val="clear" w:color="auto" w:fill="FFFFFF"/>
        <w:snapToGrid w:val="0"/>
        <w:spacing w:line="440" w:lineRule="exact"/>
        <w:rPr>
          <w:rFonts w:hint="eastAsia" w:ascii="宋体" w:hAnsi="宋体" w:cs="宋体"/>
          <w:color w:val="auto"/>
          <w:sz w:val="22"/>
          <w:szCs w:val="22"/>
          <w:highlight w:val="none"/>
        </w:rPr>
      </w:pPr>
    </w:p>
    <w:p w14:paraId="7A285CA7">
      <w:pPr>
        <w:widowControl/>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我方参与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（采购项目名称、编号）投标响应，现郑重承诺：</w:t>
      </w:r>
    </w:p>
    <w:p w14:paraId="79777497">
      <w:pPr>
        <w:widowControl/>
        <w:spacing w:line="440" w:lineRule="exact"/>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1.我方符合</w:t>
      </w:r>
      <w:r>
        <w:rPr>
          <w:rFonts w:hint="eastAsia" w:ascii="宋体" w:hAnsi="宋体" w:cs="宋体"/>
          <w:color w:val="auto"/>
          <w:kern w:val="0"/>
          <w:sz w:val="22"/>
          <w:szCs w:val="22"/>
          <w:highlight w:val="none"/>
        </w:rPr>
        <w:t>《温州市市属国有企业采购管理办法》第十八条</w:t>
      </w:r>
      <w:r>
        <w:rPr>
          <w:rFonts w:hint="eastAsia" w:ascii="宋体" w:hAnsi="宋体" w:cs="宋体"/>
          <w:color w:val="auto"/>
          <w:sz w:val="22"/>
          <w:szCs w:val="22"/>
          <w:highlight w:val="none"/>
        </w:rPr>
        <w:t>规定的资格条件，即</w:t>
      </w:r>
    </w:p>
    <w:p w14:paraId="76C0C3DB">
      <w:pPr>
        <w:widowControl/>
        <w:snapToGrid w:val="0"/>
        <w:spacing w:line="440" w:lineRule="exact"/>
        <w:ind w:left="420" w:left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（1）我方具有独立承担民事责任的能力；</w:t>
      </w:r>
    </w:p>
    <w:p w14:paraId="5C26A444">
      <w:pPr>
        <w:widowControl/>
        <w:snapToGrid w:val="0"/>
        <w:spacing w:line="440" w:lineRule="exact"/>
        <w:ind w:left="420" w:left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（2）我方具有良好的商业信誉和健全的财务会计制度；</w:t>
      </w:r>
    </w:p>
    <w:p w14:paraId="51789A58">
      <w:pPr>
        <w:widowControl/>
        <w:snapToGrid w:val="0"/>
        <w:spacing w:line="440" w:lineRule="exact"/>
        <w:ind w:left="420" w:left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（3）我方具有履行合同所必需的设备和专业技术、售后保障等能力；</w:t>
      </w:r>
    </w:p>
    <w:p w14:paraId="1AC6136A">
      <w:pPr>
        <w:widowControl/>
        <w:snapToGrid w:val="0"/>
        <w:spacing w:line="440" w:lineRule="exact"/>
        <w:ind w:left="420" w:left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（4）我方有依法缴纳税收和社会保障资金的良好记录；</w:t>
      </w:r>
    </w:p>
    <w:p w14:paraId="3BE37D22">
      <w:pPr>
        <w:widowControl/>
        <w:snapToGrid w:val="0"/>
        <w:spacing w:line="440" w:lineRule="exact"/>
        <w:ind w:left="970" w:leftChars="200" w:hanging="550" w:hangingChars="25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（5）我方参加本次采购活动前3年内在经营活动中没有重大违法记录、严重失信行为和行贿记录。</w:t>
      </w:r>
    </w:p>
    <w:p w14:paraId="214460F6">
      <w:pPr>
        <w:widowControl/>
        <w:snapToGrid w:val="0"/>
        <w:spacing w:line="44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2.到本项目投标截止时间为止，我方未被“信用中国（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1"/>
          <w:rFonts w:hint="eastAsia" w:ascii="宋体" w:hAnsi="宋体" w:cs="宋体"/>
          <w:color w:val="auto"/>
          <w:kern w:val="0"/>
          <w:sz w:val="22"/>
          <w:szCs w:val="22"/>
          <w:highlight w:val="none"/>
        </w:rPr>
        <w:t>www.creditchina.gov.cn）、</w:t>
      </w:r>
      <w:r>
        <w:rPr>
          <w:rStyle w:val="31"/>
          <w:rFonts w:hint="eastAsia" w:ascii="宋体" w:hAnsi="宋体" w:cs="宋体"/>
          <w:color w:val="auto"/>
          <w:kern w:val="0"/>
          <w:sz w:val="22"/>
          <w:szCs w:val="22"/>
          <w:highlight w:val="none"/>
        </w:rPr>
        <w:fldChar w:fldCharType="end"/>
      </w:r>
      <w:r>
        <w:rPr>
          <w:rFonts w:hint="eastAsia" w:ascii="宋体" w:hAnsi="宋体" w:cs="宋体"/>
          <w:color w:val="auto"/>
          <w:kern w:val="0"/>
          <w:sz w:val="22"/>
          <w:szCs w:val="22"/>
          <w:highlight w:val="none"/>
        </w:rPr>
        <w:t xml:space="preserve"> 中国政府采购网（www.ccgp.gov.cn）列入失信被执行人名单、重大税收违法案件当事人名单、政府采购严重违法失信行为记录名单。</w:t>
      </w:r>
    </w:p>
    <w:p w14:paraId="57488E83">
      <w:pPr>
        <w:widowControl/>
        <w:snapToGrid w:val="0"/>
        <w:spacing w:line="440" w:lineRule="exact"/>
        <w:ind w:firstLine="440" w:firstLineChars="200"/>
        <w:jc w:val="left"/>
        <w:rPr>
          <w:rFonts w:eastAsia="新宋体"/>
          <w:color w:val="auto"/>
          <w:highlight w:val="none"/>
        </w:rPr>
      </w:pPr>
      <w:r>
        <w:rPr>
          <w:rFonts w:hint="eastAsia" w:ascii="宋体" w:hAnsi="宋体" w:eastAsia="新宋体" w:cs="宋体"/>
          <w:color w:val="auto"/>
          <w:kern w:val="0"/>
          <w:sz w:val="22"/>
          <w:szCs w:val="22"/>
          <w:highlight w:val="none"/>
        </w:rPr>
        <w:t>3.</w:t>
      </w:r>
      <w:r>
        <w:rPr>
          <w:rFonts w:hint="eastAsia" w:ascii="新宋体" w:hAnsi="新宋体" w:eastAsia="新宋体" w:cs="新宋体"/>
          <w:snapToGrid w:val="0"/>
          <w:color w:val="auto"/>
          <w:sz w:val="22"/>
          <w:szCs w:val="22"/>
          <w:highlight w:val="none"/>
        </w:rPr>
        <w:t>我方不存在单位负责人为同一人或者存在直接控股、管理关系的不同供应商，参加同一合同项下的国企采购活动。</w:t>
      </w:r>
    </w:p>
    <w:p w14:paraId="15902CEE">
      <w:pPr>
        <w:widowControl/>
        <w:snapToGrid w:val="0"/>
        <w:spacing w:line="440" w:lineRule="exact"/>
        <w:ind w:firstLine="440" w:firstLineChars="200"/>
        <w:jc w:val="left"/>
        <w:rPr>
          <w:rFonts w:hint="eastAsia" w:ascii="宋体" w:hAnsi="宋体" w:cs="宋体"/>
          <w:color w:val="auto"/>
          <w:kern w:val="0"/>
          <w:sz w:val="22"/>
          <w:szCs w:val="22"/>
          <w:highlight w:val="none"/>
        </w:rPr>
      </w:pPr>
    </w:p>
    <w:p w14:paraId="57186B2B">
      <w:pPr>
        <w:widowControl/>
        <w:snapToGrid w:val="0"/>
        <w:spacing w:line="440" w:lineRule="exact"/>
        <w:ind w:left="210" w:leftChars="1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以上承诺如有虚假，</w:t>
      </w:r>
      <w:r>
        <w:rPr>
          <w:rFonts w:hint="eastAsia" w:ascii="宋体" w:hAnsi="宋体" w:cs="宋体"/>
          <w:color w:val="auto"/>
          <w:sz w:val="22"/>
          <w:szCs w:val="22"/>
          <w:highlight w:val="none"/>
        </w:rPr>
        <w:t>愿接受取消</w:t>
      </w:r>
      <w:r>
        <w:rPr>
          <w:rFonts w:hint="eastAsia" w:ascii="宋体" w:hAnsi="宋体" w:cs="宋体"/>
          <w:color w:val="auto"/>
          <w:kern w:val="0"/>
          <w:sz w:val="22"/>
          <w:szCs w:val="22"/>
          <w:highlight w:val="none"/>
        </w:rPr>
        <w:t>我方任何资格（投标/中标/签订合同）</w:t>
      </w:r>
      <w:r>
        <w:rPr>
          <w:rFonts w:hint="eastAsia" w:ascii="宋体" w:hAnsi="宋体" w:cs="宋体"/>
          <w:color w:val="auto"/>
          <w:sz w:val="22"/>
          <w:szCs w:val="22"/>
          <w:highlight w:val="none"/>
        </w:rPr>
        <w:t>及其他任何形式的处理。</w:t>
      </w:r>
    </w:p>
    <w:p w14:paraId="5ED4401D">
      <w:pPr>
        <w:pStyle w:val="16"/>
        <w:spacing w:line="600" w:lineRule="exact"/>
        <w:ind w:firstLine="4840" w:firstLineChars="2200"/>
        <w:rPr>
          <w:rFonts w:hint="eastAsia" w:ascii="宋体" w:hAnsi="宋体" w:eastAsia="宋体" w:cs="宋体"/>
          <w:color w:val="auto"/>
          <w:sz w:val="22"/>
          <w:szCs w:val="22"/>
          <w:highlight w:val="none"/>
        </w:rPr>
      </w:pPr>
    </w:p>
    <w:p w14:paraId="0FAC7D2B">
      <w:pPr>
        <w:spacing w:line="400" w:lineRule="exact"/>
        <w:rPr>
          <w:rFonts w:hint="eastAsia" w:ascii="新宋体" w:hAnsi="新宋体" w:eastAsia="新宋体" w:cs="新宋体"/>
          <w:color w:val="auto"/>
          <w:sz w:val="22"/>
          <w:szCs w:val="22"/>
          <w:highlight w:val="none"/>
        </w:rPr>
      </w:pPr>
    </w:p>
    <w:p w14:paraId="674A8BEC">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14:paraId="31E6CA81">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法定代表人或授权代表（签字或盖章）：</w:t>
      </w:r>
    </w:p>
    <w:p w14:paraId="7DF394AC">
      <w:pPr>
        <w:spacing w:line="40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049B7436">
      <w:pPr>
        <w:spacing w:line="380" w:lineRule="exact"/>
        <w:rPr>
          <w:rFonts w:hint="eastAsia" w:ascii="宋体" w:hAnsi="宋体" w:cs="宋体"/>
          <w:bCs/>
          <w:color w:val="auto"/>
          <w:sz w:val="22"/>
          <w:szCs w:val="22"/>
          <w:highlight w:val="none"/>
        </w:rPr>
      </w:pPr>
    </w:p>
    <w:p w14:paraId="5AC5FA7B">
      <w:pPr>
        <w:spacing w:line="380" w:lineRule="exact"/>
        <w:ind w:left="-358" w:leftChars="-171" w:hanging="1"/>
        <w:jc w:val="center"/>
        <w:rPr>
          <w:rFonts w:hint="eastAsia" w:ascii="宋体" w:hAnsi="宋体" w:cs="宋体"/>
          <w:bCs/>
          <w:color w:val="auto"/>
          <w:sz w:val="22"/>
          <w:szCs w:val="22"/>
          <w:highlight w:val="none"/>
        </w:rPr>
      </w:pPr>
    </w:p>
    <w:p w14:paraId="782729BB">
      <w:pPr>
        <w:spacing w:line="380" w:lineRule="exact"/>
        <w:ind w:left="-359" w:leftChars="-171" w:firstLine="440" w:firstLineChars="200"/>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注：</w:t>
      </w:r>
      <w:r>
        <w:rPr>
          <w:rFonts w:hint="eastAsia" w:ascii="宋体" w:hAnsi="宋体" w:cs="宋体"/>
          <w:color w:val="auto"/>
          <w:sz w:val="22"/>
          <w:szCs w:val="22"/>
          <w:highlight w:val="none"/>
          <w:u w:val="single"/>
        </w:rPr>
        <w:t>▲不提交本承诺书按无效标处理。</w:t>
      </w:r>
    </w:p>
    <w:p w14:paraId="1178DE1A">
      <w:pPr>
        <w:widowControl/>
        <w:adjustRightInd w:val="0"/>
        <w:snapToGrid w:val="0"/>
        <w:spacing w:line="360" w:lineRule="auto"/>
        <w:rPr>
          <w:rFonts w:hint="eastAsia" w:ascii="宋体" w:hAnsi="宋体" w:cs="宋体"/>
          <w:b/>
          <w:bCs/>
          <w:color w:val="auto"/>
          <w:sz w:val="22"/>
          <w:szCs w:val="22"/>
          <w:highlight w:val="none"/>
        </w:rPr>
      </w:pPr>
    </w:p>
    <w:p w14:paraId="64ED45F6">
      <w:pPr>
        <w:widowControl/>
        <w:adjustRightInd w:val="0"/>
        <w:snapToGrid w:val="0"/>
        <w:spacing w:line="360" w:lineRule="auto"/>
        <w:rPr>
          <w:rFonts w:hint="eastAsia" w:ascii="宋体" w:hAnsi="宋体" w:cs="宋体"/>
          <w:b/>
          <w:bCs/>
          <w:color w:val="auto"/>
          <w:sz w:val="22"/>
          <w:szCs w:val="22"/>
          <w:highlight w:val="none"/>
        </w:rPr>
      </w:pPr>
    </w:p>
    <w:p w14:paraId="7DA1E93F">
      <w:pPr>
        <w:widowControl/>
        <w:adjustRightInd w:val="0"/>
        <w:snapToGrid w:val="0"/>
        <w:spacing w:line="360" w:lineRule="auto"/>
        <w:rPr>
          <w:rFonts w:hint="eastAsia" w:ascii="宋体" w:hAnsi="宋体" w:cs="宋体"/>
          <w:b/>
          <w:bCs/>
          <w:color w:val="auto"/>
          <w:sz w:val="22"/>
          <w:szCs w:val="22"/>
          <w:highlight w:val="none"/>
        </w:rPr>
      </w:pPr>
    </w:p>
    <w:p w14:paraId="477E11E5">
      <w:pPr>
        <w:widowControl/>
        <w:adjustRightInd w:val="0"/>
        <w:snapToGrid w:val="0"/>
        <w:spacing w:line="360" w:lineRule="auto"/>
        <w:rPr>
          <w:rFonts w:hint="eastAsia" w:ascii="宋体" w:hAnsi="宋体" w:cs="宋体"/>
          <w:b/>
          <w:bCs/>
          <w:color w:val="auto"/>
          <w:sz w:val="22"/>
          <w:szCs w:val="22"/>
          <w:highlight w:val="none"/>
        </w:rPr>
      </w:pPr>
    </w:p>
    <w:p w14:paraId="4A814958">
      <w:pPr>
        <w:widowControl/>
        <w:adjustRightInd w:val="0"/>
        <w:snapToGrid w:val="0"/>
        <w:spacing w:line="360" w:lineRule="auto"/>
        <w:rPr>
          <w:rFonts w:hint="eastAsia" w:ascii="宋体" w:hAnsi="宋体" w:cs="宋体"/>
          <w:b/>
          <w:bCs/>
          <w:color w:val="auto"/>
          <w:sz w:val="22"/>
          <w:szCs w:val="22"/>
          <w:highlight w:val="none"/>
        </w:rPr>
      </w:pPr>
    </w:p>
    <w:p w14:paraId="5CE795ED">
      <w:pPr>
        <w:widowControl/>
        <w:adjustRightInd w:val="0"/>
        <w:snapToGrid w:val="0"/>
        <w:spacing w:line="360" w:lineRule="auto"/>
        <w:rPr>
          <w:rFonts w:hint="eastAsia" w:ascii="宋体" w:hAnsi="宋体" w:cs="宋体"/>
          <w:b/>
          <w:bCs/>
          <w:color w:val="auto"/>
          <w:sz w:val="22"/>
          <w:szCs w:val="22"/>
          <w:highlight w:val="none"/>
        </w:rPr>
      </w:pPr>
    </w:p>
    <w:p w14:paraId="3B6F8096">
      <w:pPr>
        <w:pStyle w:val="3"/>
        <w:rPr>
          <w:color w:val="auto"/>
          <w:highlight w:val="none"/>
        </w:rPr>
      </w:pPr>
    </w:p>
    <w:p w14:paraId="303380E8">
      <w:pPr>
        <w:widowControl/>
        <w:adjustRightInd w:val="0"/>
        <w:snapToGrid w:val="0"/>
        <w:spacing w:line="360" w:lineRule="auto"/>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申请材料真实性声明</w:t>
      </w:r>
    </w:p>
    <w:p w14:paraId="42E51AC0">
      <w:pPr>
        <w:widowControl/>
        <w:adjustRightInd w:val="0"/>
        <w:snapToGrid w:val="0"/>
        <w:spacing w:line="360" w:lineRule="auto"/>
        <w:jc w:val="center"/>
        <w:rPr>
          <w:rFonts w:hint="eastAsia" w:ascii="宋体" w:hAnsi="宋体" w:cs="宋体"/>
          <w:b/>
          <w:color w:val="auto"/>
          <w:kern w:val="0"/>
          <w:sz w:val="28"/>
          <w:szCs w:val="28"/>
          <w:highlight w:val="none"/>
        </w:rPr>
      </w:pPr>
    </w:p>
    <w:p w14:paraId="6A4002C0">
      <w:pPr>
        <w:spacing w:line="420" w:lineRule="exact"/>
        <w:rPr>
          <w:rFonts w:hint="eastAsia" w:ascii="宋体" w:hAnsi="宋体" w:cs="宋体"/>
          <w:color w:val="auto"/>
          <w:sz w:val="22"/>
          <w:szCs w:val="22"/>
          <w:highlight w:val="none"/>
        </w:rPr>
      </w:pPr>
      <w:r>
        <w:rPr>
          <w:rFonts w:hint="eastAsia" w:ascii="新宋体" w:hAnsi="新宋体" w:eastAsia="新宋体" w:cs="新宋体"/>
          <w:color w:val="auto"/>
          <w:sz w:val="22"/>
          <w:szCs w:val="22"/>
          <w:highlight w:val="none"/>
          <w:lang w:eastAsia="zh-CN"/>
        </w:rPr>
        <w:t>浙江东方职业技术学院</w:t>
      </w:r>
      <w:r>
        <w:rPr>
          <w:rFonts w:hint="eastAsia" w:ascii="新宋体" w:hAnsi="新宋体" w:eastAsia="新宋体" w:cs="新宋体"/>
          <w:color w:val="auto"/>
          <w:sz w:val="22"/>
          <w:szCs w:val="22"/>
          <w:highlight w:val="none"/>
        </w:rPr>
        <w:t>：</w:t>
      </w:r>
    </w:p>
    <w:p w14:paraId="34B67923">
      <w:pPr>
        <w:spacing w:line="420" w:lineRule="exact"/>
        <w:rPr>
          <w:rFonts w:hint="eastAsia" w:ascii="宋体" w:hAnsi="宋体" w:cs="宋体"/>
          <w:color w:val="auto"/>
          <w:sz w:val="22"/>
          <w:szCs w:val="22"/>
          <w:highlight w:val="none"/>
        </w:rPr>
      </w:pPr>
      <w:r>
        <w:rPr>
          <w:rFonts w:hint="eastAsia" w:ascii="宋体" w:hAnsi="宋体" w:cs="宋体"/>
          <w:color w:val="auto"/>
          <w:sz w:val="22"/>
          <w:szCs w:val="22"/>
          <w:highlight w:val="none"/>
        </w:rPr>
        <w:t>温州市智信招标代理有限公司：</w:t>
      </w:r>
    </w:p>
    <w:p w14:paraId="5751F114">
      <w:pPr>
        <w:shd w:val="clear" w:color="auto" w:fill="FFFFFF"/>
        <w:snapToGrid w:val="0"/>
        <w:spacing w:line="440" w:lineRule="exact"/>
        <w:rPr>
          <w:rFonts w:hint="eastAsia" w:ascii="宋体" w:hAnsi="宋体" w:cs="宋体"/>
          <w:color w:val="auto"/>
          <w:sz w:val="22"/>
          <w:szCs w:val="22"/>
          <w:highlight w:val="none"/>
        </w:rPr>
      </w:pPr>
    </w:p>
    <w:p w14:paraId="7D9A8366">
      <w:pPr>
        <w:widowControl/>
        <w:adjustRightInd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我单位此次响应参与</w:t>
      </w:r>
      <w:r>
        <w:rPr>
          <w:rFonts w:hint="eastAsia" w:ascii="宋体" w:hAnsi="宋体" w:cs="宋体"/>
          <w:color w:val="auto"/>
          <w:sz w:val="22"/>
          <w:szCs w:val="22"/>
          <w:highlight w:val="none"/>
          <w:u w:val="single"/>
        </w:rPr>
        <w:t xml:space="preserve">                          </w:t>
      </w:r>
      <w:r>
        <w:rPr>
          <w:rFonts w:hint="eastAsia" w:ascii="宋体" w:hAnsi="宋体" w:cs="宋体"/>
          <w:color w:val="auto"/>
          <w:sz w:val="22"/>
          <w:szCs w:val="22"/>
          <w:highlight w:val="none"/>
        </w:rPr>
        <w:t>（采购项目名称、编号）公开招标活动</w:t>
      </w:r>
      <w:r>
        <w:rPr>
          <w:rFonts w:hint="eastAsia" w:ascii="宋体" w:hAnsi="宋体" w:cs="宋体"/>
          <w:color w:val="auto"/>
          <w:kern w:val="0"/>
          <w:sz w:val="22"/>
          <w:szCs w:val="22"/>
          <w:highlight w:val="none"/>
        </w:rPr>
        <w:t>所提交的全部材料均真实、合法。如有不实之处，愿负相应的法律责任，并承担由此产生的一切后果。</w:t>
      </w:r>
    </w:p>
    <w:p w14:paraId="2BAFD8EA">
      <w:pPr>
        <w:widowControl/>
        <w:adjustRightInd w:val="0"/>
        <w:snapToGrid w:val="0"/>
        <w:spacing w:line="360" w:lineRule="auto"/>
        <w:ind w:firstLine="440" w:firstLineChars="200"/>
        <w:jc w:val="left"/>
        <w:rPr>
          <w:rFonts w:hint="eastAsia" w:ascii="宋体" w:hAnsi="宋体" w:cs="宋体"/>
          <w:color w:val="auto"/>
          <w:kern w:val="0"/>
          <w:sz w:val="22"/>
          <w:szCs w:val="22"/>
          <w:highlight w:val="none"/>
        </w:rPr>
      </w:pPr>
    </w:p>
    <w:p w14:paraId="14216266">
      <w:pPr>
        <w:widowControl/>
        <w:adjustRightInd w:val="0"/>
        <w:snapToGrid w:val="0"/>
        <w:spacing w:line="360" w:lineRule="auto"/>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特此声明。</w:t>
      </w:r>
    </w:p>
    <w:p w14:paraId="5FC8B147">
      <w:pPr>
        <w:widowControl/>
        <w:adjustRightInd w:val="0"/>
        <w:snapToGrid w:val="0"/>
        <w:spacing w:line="360" w:lineRule="auto"/>
        <w:ind w:firstLine="440" w:firstLineChars="200"/>
        <w:jc w:val="left"/>
        <w:rPr>
          <w:rFonts w:hint="eastAsia" w:ascii="宋体" w:hAnsi="宋体" w:cs="宋体"/>
          <w:color w:val="auto"/>
          <w:kern w:val="0"/>
          <w:sz w:val="22"/>
          <w:szCs w:val="22"/>
          <w:highlight w:val="none"/>
        </w:rPr>
      </w:pPr>
    </w:p>
    <w:p w14:paraId="3145E2E9">
      <w:pPr>
        <w:spacing w:line="400" w:lineRule="exact"/>
        <w:rPr>
          <w:rFonts w:hint="eastAsia" w:ascii="新宋体" w:hAnsi="新宋体" w:eastAsia="新宋体" w:cs="新宋体"/>
          <w:color w:val="auto"/>
          <w:sz w:val="22"/>
          <w:szCs w:val="22"/>
          <w:highlight w:val="none"/>
        </w:rPr>
      </w:pPr>
    </w:p>
    <w:p w14:paraId="611ED09F">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14:paraId="763644A4">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法定代表人或授权代表（签字或盖章）：</w:t>
      </w:r>
    </w:p>
    <w:p w14:paraId="1AF44277">
      <w:pPr>
        <w:spacing w:line="40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27A67E83">
      <w:pPr>
        <w:pStyle w:val="2"/>
        <w:ind w:firstLine="220"/>
        <w:rPr>
          <w:rFonts w:hint="eastAsia" w:ascii="宋体" w:hAnsi="宋体" w:eastAsia="宋体" w:cs="宋体"/>
          <w:color w:val="auto"/>
          <w:sz w:val="22"/>
          <w:szCs w:val="22"/>
          <w:highlight w:val="none"/>
          <w:u w:val="single"/>
        </w:rPr>
      </w:pPr>
    </w:p>
    <w:p w14:paraId="395032AB">
      <w:pPr>
        <w:spacing w:line="360" w:lineRule="auto"/>
        <w:rPr>
          <w:rFonts w:hint="eastAsia" w:ascii="宋体" w:hAnsi="宋体" w:cs="宋体"/>
          <w:color w:val="auto"/>
          <w:sz w:val="22"/>
          <w:szCs w:val="22"/>
          <w:highlight w:val="none"/>
        </w:rPr>
      </w:pPr>
    </w:p>
    <w:p w14:paraId="54B4A41C">
      <w:pPr>
        <w:pStyle w:val="2"/>
        <w:ind w:firstLine="200"/>
        <w:rPr>
          <w:rFonts w:hint="eastAsia" w:ascii="宋体" w:hAnsi="宋体" w:eastAsia="宋体" w:cs="宋体"/>
          <w:color w:val="auto"/>
          <w:highlight w:val="none"/>
        </w:rPr>
      </w:pPr>
    </w:p>
    <w:p w14:paraId="3108A5C8">
      <w:pPr>
        <w:widowControl/>
        <w:adjustRightInd w:val="0"/>
        <w:snapToGrid w:val="0"/>
        <w:spacing w:line="360" w:lineRule="auto"/>
        <w:ind w:firstLine="440" w:firstLineChars="200"/>
        <w:jc w:val="left"/>
        <w:rPr>
          <w:rFonts w:hint="eastAsia" w:ascii="宋体" w:hAnsi="宋体" w:cs="宋体"/>
          <w:color w:val="auto"/>
          <w:kern w:val="0"/>
          <w:sz w:val="22"/>
          <w:szCs w:val="22"/>
          <w:highlight w:val="none"/>
        </w:rPr>
      </w:pPr>
    </w:p>
    <w:p w14:paraId="33CCBACE">
      <w:pPr>
        <w:spacing w:line="380" w:lineRule="exact"/>
        <w:rPr>
          <w:rFonts w:hint="eastAsia" w:ascii="宋体" w:hAnsi="宋体" w:cs="宋体"/>
          <w:color w:val="auto"/>
          <w:sz w:val="22"/>
          <w:szCs w:val="22"/>
          <w:highlight w:val="none"/>
        </w:rPr>
      </w:pPr>
    </w:p>
    <w:p w14:paraId="50273FCF">
      <w:pPr>
        <w:spacing w:line="380" w:lineRule="exact"/>
        <w:rPr>
          <w:rFonts w:hint="eastAsia" w:ascii="宋体" w:hAnsi="宋体" w:cs="宋体"/>
          <w:color w:val="auto"/>
          <w:sz w:val="22"/>
          <w:szCs w:val="22"/>
          <w:highlight w:val="none"/>
        </w:rPr>
      </w:pPr>
    </w:p>
    <w:p w14:paraId="0CC7D346">
      <w:pPr>
        <w:spacing w:line="380" w:lineRule="exact"/>
        <w:rPr>
          <w:rFonts w:hint="eastAsia" w:ascii="宋体" w:hAnsi="宋体" w:cs="宋体"/>
          <w:color w:val="auto"/>
          <w:sz w:val="22"/>
          <w:szCs w:val="22"/>
          <w:highlight w:val="none"/>
        </w:rPr>
      </w:pPr>
    </w:p>
    <w:p w14:paraId="6900ED8F">
      <w:pPr>
        <w:spacing w:line="440" w:lineRule="exact"/>
        <w:rPr>
          <w:rFonts w:hint="eastAsia" w:ascii="宋体" w:hAnsi="宋体" w:cs="宋体"/>
          <w:color w:val="auto"/>
          <w:sz w:val="22"/>
          <w:szCs w:val="22"/>
          <w:highlight w:val="none"/>
          <w:u w:val="single"/>
        </w:rPr>
      </w:pPr>
      <w:r>
        <w:rPr>
          <w:rFonts w:hint="eastAsia" w:ascii="宋体" w:hAnsi="宋体" w:cs="宋体"/>
          <w:color w:val="auto"/>
          <w:sz w:val="22"/>
          <w:szCs w:val="22"/>
          <w:highlight w:val="none"/>
        </w:rPr>
        <w:t>注：</w:t>
      </w:r>
      <w:r>
        <w:rPr>
          <w:rFonts w:hint="eastAsia" w:ascii="宋体" w:hAnsi="宋体" w:cs="宋体"/>
          <w:color w:val="auto"/>
          <w:sz w:val="22"/>
          <w:szCs w:val="22"/>
          <w:highlight w:val="none"/>
          <w:u w:val="single"/>
        </w:rPr>
        <w:t>▲不提交本承诺书按无效标处理。</w:t>
      </w:r>
    </w:p>
    <w:p w14:paraId="63A66B93">
      <w:pPr>
        <w:spacing w:line="360" w:lineRule="auto"/>
        <w:rPr>
          <w:rFonts w:hint="eastAsia" w:ascii="新宋体" w:hAnsi="新宋体" w:eastAsia="新宋体" w:cs="新宋体"/>
          <w:color w:val="auto"/>
          <w:sz w:val="22"/>
          <w:szCs w:val="22"/>
          <w:highlight w:val="none"/>
        </w:rPr>
      </w:pPr>
    </w:p>
    <w:p w14:paraId="0279E470">
      <w:pPr>
        <w:spacing w:before="120" w:beforeLines="50" w:after="120" w:afterLines="50"/>
        <w:rPr>
          <w:rFonts w:hint="eastAsia" w:ascii="新宋体" w:hAnsi="新宋体" w:eastAsia="新宋体" w:cs="新宋体"/>
          <w:color w:val="auto"/>
          <w:sz w:val="22"/>
          <w:szCs w:val="22"/>
          <w:highlight w:val="none"/>
        </w:rPr>
      </w:pPr>
    </w:p>
    <w:p w14:paraId="193D3DBC">
      <w:pPr>
        <w:spacing w:before="120" w:beforeLines="50" w:after="120" w:afterLines="50"/>
        <w:rPr>
          <w:rFonts w:hint="eastAsia" w:ascii="新宋体" w:hAnsi="新宋体" w:eastAsia="新宋体" w:cs="新宋体"/>
          <w:color w:val="auto"/>
          <w:sz w:val="22"/>
          <w:szCs w:val="22"/>
          <w:highlight w:val="none"/>
        </w:rPr>
      </w:pPr>
    </w:p>
    <w:p w14:paraId="5D760CBF">
      <w:pPr>
        <w:spacing w:before="120" w:beforeLines="50" w:after="120" w:afterLines="50"/>
        <w:rPr>
          <w:rFonts w:hint="eastAsia" w:ascii="新宋体" w:hAnsi="新宋体" w:eastAsia="新宋体" w:cs="新宋体"/>
          <w:color w:val="auto"/>
          <w:sz w:val="22"/>
          <w:szCs w:val="22"/>
          <w:highlight w:val="none"/>
        </w:rPr>
      </w:pPr>
    </w:p>
    <w:p w14:paraId="14D3D5C1">
      <w:pPr>
        <w:spacing w:before="120" w:beforeLines="50" w:after="120" w:afterLines="50"/>
        <w:rPr>
          <w:rFonts w:hint="eastAsia" w:ascii="新宋体" w:hAnsi="新宋体" w:eastAsia="新宋体" w:cs="新宋体"/>
          <w:color w:val="auto"/>
          <w:sz w:val="22"/>
          <w:szCs w:val="22"/>
          <w:highlight w:val="none"/>
        </w:rPr>
      </w:pPr>
    </w:p>
    <w:p w14:paraId="1DBC02D7">
      <w:pPr>
        <w:spacing w:before="120" w:beforeLines="50" w:after="120" w:afterLines="50"/>
        <w:rPr>
          <w:rFonts w:hint="eastAsia" w:ascii="新宋体" w:hAnsi="新宋体" w:eastAsia="新宋体" w:cs="新宋体"/>
          <w:color w:val="auto"/>
          <w:sz w:val="22"/>
          <w:szCs w:val="22"/>
          <w:highlight w:val="none"/>
        </w:rPr>
      </w:pPr>
    </w:p>
    <w:p w14:paraId="50C5AEA6">
      <w:pPr>
        <w:spacing w:before="120" w:beforeLines="50" w:after="120" w:afterLines="50"/>
        <w:rPr>
          <w:rFonts w:hint="eastAsia" w:ascii="新宋体" w:hAnsi="新宋体" w:eastAsia="新宋体" w:cs="新宋体"/>
          <w:color w:val="auto"/>
          <w:sz w:val="22"/>
          <w:szCs w:val="22"/>
          <w:highlight w:val="none"/>
        </w:rPr>
      </w:pPr>
    </w:p>
    <w:p w14:paraId="4AC9E727">
      <w:pPr>
        <w:spacing w:before="120" w:beforeLines="50" w:after="120" w:afterLines="50"/>
        <w:rPr>
          <w:rFonts w:hint="eastAsia" w:ascii="新宋体" w:hAnsi="新宋体" w:eastAsia="新宋体" w:cs="新宋体"/>
          <w:color w:val="auto"/>
          <w:sz w:val="22"/>
          <w:szCs w:val="22"/>
          <w:highlight w:val="none"/>
        </w:rPr>
      </w:pPr>
    </w:p>
    <w:p w14:paraId="3EB59CA2">
      <w:pPr>
        <w:spacing w:before="120" w:beforeLines="50" w:after="120" w:afterLines="50"/>
        <w:rPr>
          <w:rFonts w:hint="eastAsia" w:ascii="新宋体" w:hAnsi="新宋体" w:eastAsia="新宋体" w:cs="新宋体"/>
          <w:color w:val="auto"/>
          <w:sz w:val="22"/>
          <w:szCs w:val="22"/>
          <w:highlight w:val="none"/>
        </w:rPr>
      </w:pPr>
    </w:p>
    <w:p w14:paraId="5846C80B">
      <w:pPr>
        <w:spacing w:before="120" w:beforeLines="50" w:after="120" w:afterLines="50"/>
        <w:rPr>
          <w:rFonts w:hint="eastAsia" w:ascii="新宋体" w:hAnsi="新宋体" w:eastAsia="新宋体" w:cs="新宋体"/>
          <w:color w:val="auto"/>
          <w:sz w:val="22"/>
          <w:szCs w:val="22"/>
          <w:highlight w:val="none"/>
        </w:rPr>
      </w:pPr>
    </w:p>
    <w:p w14:paraId="2E753BFE">
      <w:pPr>
        <w:spacing w:before="120" w:beforeLines="50" w:after="120" w:afterLines="50"/>
        <w:rPr>
          <w:rFonts w:hint="eastAsia" w:ascii="新宋体" w:hAnsi="新宋体" w:eastAsia="新宋体" w:cs="新宋体"/>
          <w:color w:val="auto"/>
          <w:sz w:val="22"/>
          <w:szCs w:val="22"/>
          <w:highlight w:val="none"/>
        </w:rPr>
      </w:pPr>
    </w:p>
    <w:p w14:paraId="628B4BA0">
      <w:pPr>
        <w:spacing w:before="120" w:beforeLines="50" w:after="120" w:afterLines="50"/>
        <w:rPr>
          <w:rFonts w:hint="eastAsia" w:ascii="新宋体" w:hAnsi="新宋体" w:eastAsia="新宋体" w:cs="新宋体"/>
          <w:color w:val="auto"/>
          <w:sz w:val="22"/>
          <w:szCs w:val="22"/>
          <w:highlight w:val="none"/>
        </w:rPr>
      </w:pPr>
    </w:p>
    <w:p w14:paraId="14E1167D">
      <w:pPr>
        <w:spacing w:before="120" w:beforeLines="50" w:after="120" w:afterLine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（技术资信标封面，供参考）</w:t>
      </w:r>
    </w:p>
    <w:p w14:paraId="1A287954">
      <w:pPr>
        <w:rPr>
          <w:rFonts w:hint="eastAsia" w:ascii="新宋体" w:hAnsi="新宋体" w:eastAsia="新宋体" w:cs="新宋体"/>
          <w:color w:val="auto"/>
          <w:highlight w:val="none"/>
        </w:rPr>
      </w:pPr>
    </w:p>
    <w:p w14:paraId="1DC33CAC">
      <w:pPr>
        <w:rPr>
          <w:rFonts w:hint="eastAsia" w:ascii="新宋体" w:hAnsi="新宋体" w:eastAsia="新宋体" w:cs="新宋体"/>
          <w:color w:val="auto"/>
          <w:highlight w:val="none"/>
        </w:rPr>
      </w:pPr>
    </w:p>
    <w:p w14:paraId="65FB4BF4">
      <w:pPr>
        <w:rPr>
          <w:rFonts w:hint="eastAsia" w:ascii="新宋体" w:hAnsi="新宋体" w:eastAsia="新宋体" w:cs="新宋体"/>
          <w:color w:val="auto"/>
          <w:highlight w:val="none"/>
        </w:rPr>
      </w:pPr>
    </w:p>
    <w:p w14:paraId="749DB5B1">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（项目名称）              </w:t>
      </w:r>
      <w:r>
        <w:rPr>
          <w:rFonts w:hint="eastAsia" w:ascii="新宋体" w:hAnsi="新宋体" w:eastAsia="新宋体" w:cs="新宋体"/>
          <w:color w:val="auto"/>
          <w:sz w:val="28"/>
          <w:szCs w:val="28"/>
          <w:highlight w:val="none"/>
        </w:rPr>
        <w:t>投标文件</w:t>
      </w:r>
    </w:p>
    <w:p w14:paraId="61503046">
      <w:pPr>
        <w:rPr>
          <w:rFonts w:hint="eastAsia" w:ascii="新宋体" w:hAnsi="新宋体" w:eastAsia="新宋体" w:cs="新宋体"/>
          <w:color w:val="auto"/>
          <w:sz w:val="28"/>
          <w:szCs w:val="28"/>
          <w:highlight w:val="none"/>
        </w:rPr>
      </w:pPr>
    </w:p>
    <w:p w14:paraId="5C58D9B3">
      <w:pPr>
        <w:rPr>
          <w:rFonts w:hint="eastAsia" w:ascii="新宋体" w:hAnsi="新宋体" w:eastAsia="新宋体" w:cs="新宋体"/>
          <w:color w:val="auto"/>
          <w:sz w:val="28"/>
          <w:szCs w:val="28"/>
          <w:highlight w:val="none"/>
        </w:rPr>
      </w:pPr>
    </w:p>
    <w:p w14:paraId="57A493EC">
      <w:pPr>
        <w:pStyle w:val="2"/>
        <w:ind w:firstLine="280"/>
        <w:rPr>
          <w:rFonts w:hint="eastAsia" w:ascii="新宋体" w:hAnsi="新宋体" w:eastAsia="新宋体" w:cs="新宋体"/>
          <w:color w:val="auto"/>
          <w:sz w:val="28"/>
          <w:szCs w:val="28"/>
          <w:highlight w:val="none"/>
        </w:rPr>
      </w:pPr>
    </w:p>
    <w:p w14:paraId="5FCBB427">
      <w:pPr>
        <w:pStyle w:val="2"/>
        <w:ind w:firstLine="280"/>
        <w:rPr>
          <w:rFonts w:hint="eastAsia" w:ascii="新宋体" w:hAnsi="新宋体" w:eastAsia="新宋体" w:cs="新宋体"/>
          <w:color w:val="auto"/>
          <w:sz w:val="28"/>
          <w:szCs w:val="28"/>
          <w:highlight w:val="none"/>
        </w:rPr>
      </w:pPr>
    </w:p>
    <w:p w14:paraId="24CB19D5">
      <w:pPr>
        <w:rPr>
          <w:rFonts w:hint="eastAsia" w:ascii="新宋体" w:hAnsi="新宋体" w:eastAsia="新宋体" w:cs="新宋体"/>
          <w:color w:val="auto"/>
          <w:sz w:val="28"/>
          <w:szCs w:val="28"/>
          <w:highlight w:val="none"/>
        </w:rPr>
      </w:pPr>
    </w:p>
    <w:p w14:paraId="1EAAB5CE">
      <w:pPr>
        <w:rPr>
          <w:rFonts w:hint="eastAsia" w:ascii="新宋体" w:hAnsi="新宋体" w:eastAsia="新宋体" w:cs="新宋体"/>
          <w:color w:val="auto"/>
          <w:sz w:val="28"/>
          <w:szCs w:val="28"/>
          <w:highlight w:val="none"/>
        </w:rPr>
      </w:pPr>
    </w:p>
    <w:p w14:paraId="160D66DF">
      <w:pPr>
        <w:jc w:val="center"/>
        <w:rPr>
          <w:rFonts w:hint="eastAsia" w:ascii="新宋体" w:hAnsi="新宋体" w:eastAsia="新宋体" w:cs="新宋体"/>
          <w:color w:val="auto"/>
          <w:sz w:val="52"/>
          <w:szCs w:val="52"/>
          <w:highlight w:val="none"/>
        </w:rPr>
      </w:pPr>
      <w:r>
        <w:rPr>
          <w:rFonts w:hint="eastAsia" w:ascii="新宋体" w:hAnsi="新宋体" w:eastAsia="新宋体" w:cs="新宋体"/>
          <w:color w:val="auto"/>
          <w:sz w:val="52"/>
          <w:szCs w:val="52"/>
          <w:highlight w:val="none"/>
        </w:rPr>
        <w:t>技 术 资 信 标</w:t>
      </w:r>
    </w:p>
    <w:p w14:paraId="1B3033FC">
      <w:pPr>
        <w:spacing w:line="360" w:lineRule="auto"/>
        <w:rPr>
          <w:rFonts w:hint="eastAsia" w:ascii="新宋体" w:hAnsi="新宋体" w:eastAsia="新宋体" w:cs="新宋体"/>
          <w:color w:val="auto"/>
          <w:szCs w:val="21"/>
          <w:highlight w:val="none"/>
        </w:rPr>
      </w:pPr>
    </w:p>
    <w:p w14:paraId="2346FC27">
      <w:pPr>
        <w:spacing w:line="360" w:lineRule="auto"/>
        <w:rPr>
          <w:rFonts w:hint="eastAsia" w:ascii="新宋体" w:hAnsi="新宋体" w:eastAsia="新宋体" w:cs="新宋体"/>
          <w:color w:val="auto"/>
          <w:szCs w:val="21"/>
          <w:highlight w:val="none"/>
        </w:rPr>
      </w:pPr>
    </w:p>
    <w:p w14:paraId="75442115">
      <w:pPr>
        <w:spacing w:line="360" w:lineRule="auto"/>
        <w:rPr>
          <w:rFonts w:hint="eastAsia" w:ascii="新宋体" w:hAnsi="新宋体" w:eastAsia="新宋体" w:cs="新宋体"/>
          <w:color w:val="auto"/>
          <w:szCs w:val="21"/>
          <w:highlight w:val="none"/>
        </w:rPr>
      </w:pPr>
    </w:p>
    <w:p w14:paraId="51B61651">
      <w:pPr>
        <w:spacing w:line="360" w:lineRule="auto"/>
        <w:rPr>
          <w:rFonts w:hint="eastAsia" w:ascii="新宋体" w:hAnsi="新宋体" w:eastAsia="新宋体" w:cs="新宋体"/>
          <w:color w:val="auto"/>
          <w:szCs w:val="21"/>
          <w:highlight w:val="none"/>
        </w:rPr>
      </w:pPr>
    </w:p>
    <w:p w14:paraId="51830CA6">
      <w:pPr>
        <w:pStyle w:val="2"/>
        <w:ind w:firstLine="200"/>
        <w:rPr>
          <w:rFonts w:hint="eastAsia" w:ascii="新宋体" w:hAnsi="新宋体" w:eastAsia="新宋体" w:cs="新宋体"/>
          <w:color w:val="auto"/>
          <w:highlight w:val="none"/>
        </w:rPr>
      </w:pPr>
    </w:p>
    <w:p w14:paraId="2B89135F">
      <w:pPr>
        <w:spacing w:line="360" w:lineRule="auto"/>
        <w:rPr>
          <w:rFonts w:hint="eastAsia" w:ascii="新宋体" w:hAnsi="新宋体" w:eastAsia="新宋体" w:cs="新宋体"/>
          <w:color w:val="auto"/>
          <w:szCs w:val="21"/>
          <w:highlight w:val="none"/>
        </w:rPr>
      </w:pPr>
    </w:p>
    <w:p w14:paraId="44B8FFE6">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投标供应商：</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14:paraId="083DF2F9">
      <w:pPr>
        <w:rPr>
          <w:rFonts w:hint="eastAsia" w:ascii="新宋体" w:hAnsi="新宋体" w:eastAsia="新宋体" w:cs="新宋体"/>
          <w:color w:val="auto"/>
          <w:sz w:val="28"/>
          <w:szCs w:val="28"/>
          <w:highlight w:val="none"/>
          <w:u w:val="single"/>
        </w:rPr>
      </w:pPr>
    </w:p>
    <w:p w14:paraId="4B9EFAD2">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法定代表人或其委托代理人：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14:paraId="2D092541">
      <w:pPr>
        <w:rPr>
          <w:rFonts w:hint="eastAsia" w:ascii="新宋体" w:hAnsi="新宋体" w:eastAsia="新宋体" w:cs="新宋体"/>
          <w:color w:val="auto"/>
          <w:sz w:val="28"/>
          <w:szCs w:val="28"/>
          <w:highlight w:val="none"/>
        </w:rPr>
      </w:pPr>
    </w:p>
    <w:p w14:paraId="52E6F5B8">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14:paraId="016D7C26">
      <w:pPr>
        <w:spacing w:line="46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color w:val="auto"/>
          <w:highlight w:val="none"/>
        </w:rPr>
        <w:br w:type="page"/>
      </w:r>
      <w:r>
        <w:rPr>
          <w:rFonts w:hint="eastAsia" w:ascii="新宋体" w:hAnsi="新宋体" w:eastAsia="新宋体" w:cs="新宋体"/>
          <w:b/>
          <w:bCs/>
          <w:color w:val="auto"/>
          <w:sz w:val="28"/>
          <w:szCs w:val="28"/>
          <w:highlight w:val="none"/>
        </w:rPr>
        <w:t>目  录</w:t>
      </w:r>
    </w:p>
    <w:p w14:paraId="60406B49">
      <w:pPr>
        <w:spacing w:line="360" w:lineRule="auto"/>
        <w:jc w:val="center"/>
        <w:rPr>
          <w:rFonts w:hint="eastAsia" w:ascii="新宋体" w:hAnsi="新宋体" w:eastAsia="新宋体" w:cs="新宋体"/>
          <w:color w:val="auto"/>
          <w:sz w:val="24"/>
          <w:highlight w:val="none"/>
        </w:rPr>
      </w:pP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9109"/>
      </w:tblGrid>
      <w:tr w14:paraId="2D43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30739F70">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56723C8C">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内容</w:t>
            </w:r>
          </w:p>
        </w:tc>
      </w:tr>
      <w:tr w14:paraId="0DA6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48121298">
            <w:pPr>
              <w:jc w:val="center"/>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0BE54B55">
            <w:pP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针对评分细则，编制目录索引，注明评标细则项目所在投标文件页码，格式自拟</w:t>
            </w:r>
          </w:p>
        </w:tc>
      </w:tr>
      <w:tr w14:paraId="2549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5962F8C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6D2C0A2B">
            <w:pP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投标函</w:t>
            </w:r>
          </w:p>
        </w:tc>
      </w:tr>
      <w:tr w14:paraId="2AE35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6199BBF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51B270C3">
            <w:pP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技术要求应答表、商务条款偏离表</w:t>
            </w:r>
          </w:p>
        </w:tc>
      </w:tr>
      <w:tr w14:paraId="623E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026C3AB1">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17B3AA4C">
            <w:pPr>
              <w:rPr>
                <w:rFonts w:hint="eastAsia" w:ascii="宋体" w:hAnsi="宋体" w:eastAsia="宋体" w:cs="宋体"/>
                <w:bCs/>
                <w:color w:val="auto"/>
                <w:sz w:val="22"/>
                <w:szCs w:val="22"/>
                <w:highlight w:val="none"/>
              </w:rPr>
            </w:pPr>
            <w:r>
              <w:rPr>
                <w:rFonts w:hint="eastAsia" w:ascii="宋体" w:hAnsi="宋体" w:eastAsia="宋体" w:cs="宋体"/>
                <w:b/>
                <w:color w:val="auto"/>
                <w:kern w:val="1"/>
                <w:sz w:val="22"/>
                <w:szCs w:val="22"/>
                <w:highlight w:val="none"/>
              </w:rPr>
              <w:t>资信证明文件（本项为评分量化内容，非强制性要求）</w:t>
            </w:r>
          </w:p>
        </w:tc>
      </w:tr>
      <w:tr w14:paraId="7C165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4B40CD7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4708562C">
            <w:pPr>
              <w:rPr>
                <w:rFonts w:hint="default" w:ascii="宋体" w:hAnsi="宋体" w:eastAsia="宋体" w:cs="宋体"/>
                <w:bCs/>
                <w:color w:val="auto"/>
                <w:sz w:val="22"/>
                <w:szCs w:val="22"/>
                <w:highlight w:val="none"/>
                <w:lang w:val="en-US"/>
              </w:rPr>
            </w:pPr>
            <w:r>
              <w:rPr>
                <w:rFonts w:hint="eastAsia" w:ascii="宋体" w:hAnsi="宋体" w:eastAsia="宋体" w:cs="宋体"/>
                <w:color w:val="auto"/>
                <w:kern w:val="1"/>
                <w:sz w:val="22"/>
                <w:szCs w:val="22"/>
                <w:highlight w:val="none"/>
                <w:lang w:val="en-US" w:eastAsia="zh-CN"/>
              </w:rPr>
              <w:t>供应商综合实力</w:t>
            </w:r>
          </w:p>
        </w:tc>
      </w:tr>
      <w:tr w14:paraId="3C0F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423DE50D">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3044154F">
            <w:pPr>
              <w:rPr>
                <w:rFonts w:hint="default" w:ascii="宋体" w:hAnsi="宋体" w:eastAsia="宋体" w:cs="宋体"/>
                <w:bCs/>
                <w:color w:val="auto"/>
                <w:sz w:val="22"/>
                <w:szCs w:val="22"/>
                <w:highlight w:val="none"/>
                <w:lang w:val="en-US"/>
              </w:rPr>
            </w:pPr>
            <w:r>
              <w:rPr>
                <w:rFonts w:hint="eastAsia" w:ascii="宋体" w:hAnsi="宋体" w:eastAsia="宋体" w:cs="宋体"/>
                <w:color w:val="auto"/>
                <w:kern w:val="1"/>
                <w:sz w:val="22"/>
                <w:szCs w:val="22"/>
                <w:highlight w:val="none"/>
                <w:lang w:val="en-US" w:eastAsia="zh-CN"/>
              </w:rPr>
              <w:t>同类项目业绩情况</w:t>
            </w:r>
          </w:p>
        </w:tc>
      </w:tr>
      <w:tr w14:paraId="2B32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181FBB86">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041650BD">
            <w:pPr>
              <w:rPr>
                <w:rFonts w:hint="eastAsia" w:ascii="宋体" w:hAnsi="宋体" w:eastAsia="宋体" w:cs="宋体"/>
                <w:bCs/>
                <w:color w:val="auto"/>
                <w:sz w:val="22"/>
                <w:szCs w:val="22"/>
                <w:highlight w:val="none"/>
              </w:rPr>
            </w:pPr>
            <w:r>
              <w:rPr>
                <w:rFonts w:hint="eastAsia" w:ascii="新宋体" w:hAnsi="新宋体" w:eastAsia="新宋体" w:cs="新宋体"/>
                <w:color w:val="auto"/>
                <w:sz w:val="22"/>
                <w:szCs w:val="22"/>
                <w:highlight w:val="none"/>
              </w:rPr>
              <w:t>产品供货范围详细清单</w:t>
            </w:r>
            <w:r>
              <w:rPr>
                <w:rFonts w:hint="eastAsia" w:ascii="新宋体" w:hAnsi="新宋体" w:eastAsia="新宋体" w:cs="新宋体"/>
                <w:color w:val="auto"/>
                <w:sz w:val="22"/>
                <w:szCs w:val="22"/>
                <w:highlight w:val="none"/>
                <w:lang w:eastAsia="zh-CN"/>
              </w:rPr>
              <w:t>（</w:t>
            </w:r>
            <w:r>
              <w:rPr>
                <w:rFonts w:hint="eastAsia" w:ascii="宋体" w:hAnsi="宋体" w:eastAsia="宋体" w:cs="宋体"/>
                <w:color w:val="auto"/>
                <w:kern w:val="1"/>
                <w:sz w:val="22"/>
                <w:szCs w:val="22"/>
                <w:highlight w:val="none"/>
                <w:lang w:val="en-US" w:eastAsia="zh-CN"/>
              </w:rPr>
              <w:t>所投产品</w:t>
            </w:r>
            <w:r>
              <w:rPr>
                <w:rFonts w:hint="eastAsia" w:ascii="宋体" w:hAnsi="宋体" w:eastAsia="宋体" w:cs="宋体"/>
                <w:color w:val="auto"/>
                <w:kern w:val="1"/>
                <w:sz w:val="22"/>
                <w:szCs w:val="22"/>
                <w:highlight w:val="none"/>
              </w:rPr>
              <w:t>的主要技术、结构、性能、特点和质量水平</w:t>
            </w:r>
            <w:r>
              <w:rPr>
                <w:rFonts w:hint="eastAsia" w:ascii="新宋体" w:hAnsi="新宋体" w:eastAsia="新宋体" w:cs="新宋体"/>
                <w:color w:val="auto"/>
                <w:sz w:val="22"/>
                <w:szCs w:val="22"/>
                <w:highlight w:val="none"/>
                <w:lang w:eastAsia="zh-CN"/>
              </w:rPr>
              <w:t>）</w:t>
            </w:r>
          </w:p>
        </w:tc>
      </w:tr>
      <w:tr w14:paraId="2BA02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AAF73B">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8</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5B1DD815">
            <w:pP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相关检测报告</w:t>
            </w:r>
          </w:p>
        </w:tc>
      </w:tr>
      <w:tr w14:paraId="722E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BE946D">
            <w:pPr>
              <w:jc w:val="center"/>
              <w:rPr>
                <w:rFonts w:hint="eastAsia" w:ascii="宋体" w:hAnsi="宋体" w:eastAsia="宋体" w:cs="宋体"/>
                <w:color w:val="auto"/>
                <w:kern w:val="1"/>
                <w:sz w:val="22"/>
                <w:szCs w:val="22"/>
                <w:highlight w:val="none"/>
                <w:lang w:val="en-US" w:eastAsia="zh-CN" w:bidi="ar-SA"/>
              </w:rPr>
            </w:pPr>
            <w:r>
              <w:rPr>
                <w:rFonts w:hint="eastAsia" w:ascii="宋体" w:hAnsi="宋体" w:eastAsia="宋体" w:cs="宋体"/>
                <w:color w:val="auto"/>
                <w:kern w:val="1"/>
                <w:sz w:val="22"/>
                <w:szCs w:val="22"/>
                <w:highlight w:val="none"/>
                <w:lang w:val="en-US" w:eastAsia="zh-CN"/>
              </w:rPr>
              <w:t>9</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29998268">
            <w:pPr>
              <w:rPr>
                <w:rFonts w:hint="eastAsia" w:ascii="宋体" w:hAnsi="宋体" w:eastAsia="宋体" w:cs="宋体"/>
                <w:bCs/>
                <w:color w:val="auto"/>
                <w:sz w:val="22"/>
                <w:szCs w:val="22"/>
                <w:highlight w:val="none"/>
              </w:rPr>
            </w:pPr>
            <w:r>
              <w:rPr>
                <w:rFonts w:hint="eastAsia" w:ascii="宋体" w:hAnsi="宋体" w:eastAsia="宋体" w:cs="宋体"/>
                <w:color w:val="auto"/>
                <w:kern w:val="1"/>
                <w:sz w:val="22"/>
                <w:szCs w:val="22"/>
                <w:highlight w:val="none"/>
                <w:lang w:val="en-US" w:eastAsia="zh-CN"/>
              </w:rPr>
              <w:t>产品</w:t>
            </w:r>
            <w:r>
              <w:rPr>
                <w:rFonts w:hint="eastAsia" w:ascii="宋体" w:hAnsi="宋体" w:eastAsia="宋体" w:cs="宋体"/>
                <w:color w:val="auto"/>
                <w:kern w:val="1"/>
                <w:sz w:val="22"/>
                <w:szCs w:val="22"/>
                <w:highlight w:val="none"/>
              </w:rPr>
              <w:t>的</w:t>
            </w:r>
            <w:r>
              <w:rPr>
                <w:rFonts w:hint="eastAsia" w:ascii="宋体" w:hAnsi="宋体" w:cs="宋体"/>
                <w:color w:val="auto"/>
                <w:kern w:val="1"/>
                <w:sz w:val="22"/>
                <w:szCs w:val="22"/>
                <w:highlight w:val="none"/>
                <w:lang w:val="en-US" w:eastAsia="zh-CN"/>
              </w:rPr>
              <w:t>生成、</w:t>
            </w:r>
            <w:r>
              <w:rPr>
                <w:rFonts w:hint="eastAsia" w:ascii="宋体" w:hAnsi="宋体" w:eastAsia="宋体" w:cs="宋体"/>
                <w:color w:val="auto"/>
                <w:kern w:val="1"/>
                <w:sz w:val="22"/>
                <w:szCs w:val="22"/>
                <w:highlight w:val="none"/>
              </w:rPr>
              <w:t>供货、</w:t>
            </w:r>
            <w:r>
              <w:rPr>
                <w:rFonts w:hint="eastAsia" w:ascii="宋体" w:hAnsi="宋体" w:eastAsia="宋体" w:cs="宋体"/>
                <w:color w:val="auto"/>
                <w:kern w:val="1"/>
                <w:sz w:val="22"/>
                <w:szCs w:val="22"/>
                <w:highlight w:val="none"/>
                <w:lang w:val="en-US" w:eastAsia="zh-CN"/>
              </w:rPr>
              <w:t>安装</w:t>
            </w:r>
            <w:r>
              <w:rPr>
                <w:rFonts w:hint="eastAsia" w:ascii="宋体" w:hAnsi="宋体" w:eastAsia="宋体" w:cs="宋体"/>
                <w:color w:val="auto"/>
                <w:kern w:val="1"/>
                <w:sz w:val="22"/>
                <w:szCs w:val="22"/>
                <w:highlight w:val="none"/>
              </w:rPr>
              <w:t>、验收标准及方案</w:t>
            </w:r>
          </w:p>
        </w:tc>
      </w:tr>
      <w:tr w14:paraId="5DAC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E355FF">
            <w:pPr>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10</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6AE010B6">
            <w:pPr>
              <w:rPr>
                <w:rFonts w:hint="eastAsia" w:ascii="宋体" w:hAnsi="宋体" w:eastAsia="宋体" w:cs="宋体"/>
                <w:color w:val="auto"/>
                <w:kern w:val="1"/>
                <w:sz w:val="22"/>
                <w:szCs w:val="22"/>
                <w:highlight w:val="none"/>
                <w:lang w:val="en-US"/>
              </w:rPr>
            </w:pPr>
            <w:r>
              <w:rPr>
                <w:rFonts w:hint="eastAsia" w:ascii="宋体" w:hAnsi="宋体" w:eastAsia="宋体" w:cs="宋体"/>
                <w:color w:val="auto"/>
                <w:kern w:val="1"/>
                <w:sz w:val="22"/>
                <w:szCs w:val="22"/>
                <w:highlight w:val="none"/>
              </w:rPr>
              <w:t>售后服务</w:t>
            </w:r>
            <w:r>
              <w:rPr>
                <w:rFonts w:hint="eastAsia" w:ascii="宋体" w:hAnsi="宋体" w:eastAsia="宋体" w:cs="宋体"/>
                <w:color w:val="auto"/>
                <w:kern w:val="1"/>
                <w:sz w:val="22"/>
                <w:szCs w:val="22"/>
                <w:highlight w:val="none"/>
                <w:lang w:val="en-US" w:eastAsia="zh-CN"/>
              </w:rPr>
              <w:t>及优惠条件</w:t>
            </w:r>
          </w:p>
        </w:tc>
      </w:tr>
      <w:tr w14:paraId="242B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78" w:type="pct"/>
            <w:tcBorders>
              <w:top w:val="single" w:color="auto" w:sz="4" w:space="0"/>
              <w:left w:val="single" w:color="auto" w:sz="4" w:space="0"/>
              <w:bottom w:val="single" w:color="auto" w:sz="4" w:space="0"/>
              <w:right w:val="single" w:color="auto" w:sz="4" w:space="0"/>
            </w:tcBorders>
            <w:noWrap w:val="0"/>
            <w:vAlign w:val="center"/>
          </w:tcPr>
          <w:p w14:paraId="0F1B577F">
            <w:pPr>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11</w:t>
            </w:r>
          </w:p>
        </w:tc>
        <w:tc>
          <w:tcPr>
            <w:tcW w:w="4621" w:type="pct"/>
            <w:tcBorders>
              <w:top w:val="single" w:color="auto" w:sz="4" w:space="0"/>
              <w:left w:val="single" w:color="auto" w:sz="4" w:space="0"/>
              <w:bottom w:val="single" w:color="auto" w:sz="4" w:space="0"/>
              <w:right w:val="single" w:color="auto" w:sz="4" w:space="0"/>
            </w:tcBorders>
            <w:noWrap w:val="0"/>
            <w:vAlign w:val="center"/>
          </w:tcPr>
          <w:p w14:paraId="2040C0E7">
            <w:pPr>
              <w:jc w:val="left"/>
              <w:rPr>
                <w:rFonts w:hint="eastAsia" w:ascii="宋体" w:hAnsi="宋体" w:eastAsia="宋体" w:cs="宋体"/>
                <w:color w:val="auto"/>
                <w:sz w:val="22"/>
                <w:szCs w:val="22"/>
                <w:highlight w:val="none"/>
              </w:rPr>
            </w:pPr>
            <w:r>
              <w:rPr>
                <w:rFonts w:hint="eastAsia" w:ascii="宋体" w:hAnsi="宋体" w:eastAsia="宋体" w:cs="宋体"/>
                <w:bCs/>
                <w:color w:val="auto"/>
                <w:sz w:val="22"/>
                <w:highlight w:val="none"/>
                <w:lang w:val="en-US" w:eastAsia="zh-CN"/>
              </w:rPr>
              <w:t>供应商</w:t>
            </w:r>
            <w:r>
              <w:rPr>
                <w:rFonts w:hint="eastAsia" w:ascii="宋体" w:hAnsi="宋体" w:cs="宋体"/>
                <w:bCs/>
                <w:color w:val="auto"/>
                <w:sz w:val="22"/>
                <w:highlight w:val="none"/>
                <w:lang w:val="en-US" w:eastAsia="zh-CN"/>
              </w:rPr>
              <w:t>根据技术评分表</w:t>
            </w:r>
            <w:r>
              <w:rPr>
                <w:rFonts w:hint="eastAsia" w:ascii="宋体" w:hAnsi="宋体" w:eastAsia="宋体" w:cs="宋体"/>
                <w:bCs/>
                <w:color w:val="auto"/>
                <w:sz w:val="22"/>
                <w:highlight w:val="none"/>
              </w:rPr>
              <w:t>认为需要提供的其他技术资料</w:t>
            </w:r>
          </w:p>
        </w:tc>
      </w:tr>
    </w:tbl>
    <w:p w14:paraId="44034620">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rPr>
        <w:t>附件一</w:t>
      </w:r>
    </w:p>
    <w:p w14:paraId="4CA617BC">
      <w:pPr>
        <w:spacing w:line="46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投 标 函</w:t>
      </w:r>
    </w:p>
    <w:p w14:paraId="1AE96689">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浙江东方职业技术学院</w:t>
      </w:r>
      <w:r>
        <w:rPr>
          <w:rFonts w:hint="eastAsia" w:ascii="新宋体" w:hAnsi="新宋体" w:eastAsia="新宋体" w:cs="新宋体"/>
          <w:color w:val="auto"/>
          <w:sz w:val="22"/>
          <w:szCs w:val="22"/>
          <w:highlight w:val="none"/>
        </w:rPr>
        <w:t>：</w:t>
      </w:r>
    </w:p>
    <w:p w14:paraId="070F4414">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温州市智信招标代理有限公司：</w:t>
      </w:r>
    </w:p>
    <w:p w14:paraId="6FB3707B">
      <w:pPr>
        <w:spacing w:line="42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根据贵方为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项目（采购编号：</w:t>
      </w:r>
      <w:r>
        <w:rPr>
          <w:rFonts w:hint="eastAsia" w:ascii="新宋体" w:hAnsi="新宋体" w:eastAsia="新宋体" w:cs="新宋体"/>
          <w:b/>
          <w:color w:val="auto"/>
          <w:sz w:val="22"/>
          <w:szCs w:val="22"/>
          <w:highlight w:val="none"/>
          <w:u w:val="single"/>
        </w:rPr>
        <w:t xml:space="preserve">               </w:t>
      </w:r>
      <w:r>
        <w:rPr>
          <w:rFonts w:hint="eastAsia" w:ascii="新宋体" w:hAnsi="新宋体" w:eastAsia="新宋体" w:cs="新宋体"/>
          <w:b/>
          <w:color w:val="auto"/>
          <w:sz w:val="22"/>
          <w:szCs w:val="22"/>
          <w:highlight w:val="none"/>
        </w:rPr>
        <w:t xml:space="preserve"> </w:t>
      </w:r>
      <w:r>
        <w:rPr>
          <w:rFonts w:hint="eastAsia" w:ascii="新宋体" w:hAnsi="新宋体" w:eastAsia="新宋体" w:cs="新宋体"/>
          <w:color w:val="auto"/>
          <w:sz w:val="22"/>
          <w:szCs w:val="22"/>
          <w:highlight w:val="none"/>
        </w:rPr>
        <w:t>）的投标邀请，我方</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（投标供应商名称）作为投标供应商正式授权</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（授权代表全名，职务）代表我方处理有关本投标的一切事宜。</w:t>
      </w:r>
    </w:p>
    <w:p w14:paraId="51EF07E2">
      <w:pPr>
        <w:autoSpaceDE w:val="0"/>
        <w:autoSpaceDN w:val="0"/>
        <w:adjustRightInd w:val="0"/>
        <w:spacing w:line="420" w:lineRule="atLeast"/>
        <w:ind w:firstLine="440" w:firstLineChars="200"/>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在此</w:t>
      </w:r>
      <w:r>
        <w:rPr>
          <w:rFonts w:hint="eastAsia" w:ascii="新宋体" w:hAnsi="新宋体" w:eastAsia="新宋体" w:cs="新宋体"/>
          <w:color w:val="auto"/>
          <w:kern w:val="0"/>
          <w:sz w:val="22"/>
          <w:szCs w:val="22"/>
          <w:highlight w:val="none"/>
        </w:rPr>
        <w:t>分别</w:t>
      </w:r>
      <w:r>
        <w:rPr>
          <w:rFonts w:hint="eastAsia" w:ascii="新宋体" w:hAnsi="新宋体" w:eastAsia="新宋体" w:cs="新宋体"/>
          <w:color w:val="auto"/>
          <w:kern w:val="0"/>
          <w:sz w:val="22"/>
          <w:szCs w:val="22"/>
          <w:highlight w:val="none"/>
          <w:lang w:val="zh-CN"/>
        </w:rPr>
        <w:t>提交的投标文件中，包括如下内容，并已分别单独密封装袋：</w:t>
      </w:r>
    </w:p>
    <w:p w14:paraId="5A0E43D7">
      <w:pPr>
        <w:numPr>
          <w:ilvl w:val="0"/>
          <w:numId w:val="18"/>
        </w:numPr>
        <w:spacing w:line="42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 w:val="22"/>
          <w:highlight w:val="none"/>
        </w:rPr>
        <w:t>按“投标供应商须知”要求编制的投标文件资格审查资料【正本一份，副本</w:t>
      </w:r>
      <w:r>
        <w:rPr>
          <w:rFonts w:hint="eastAsia" w:ascii="新宋体" w:hAnsi="新宋体" w:eastAsia="新宋体" w:cs="新宋体"/>
          <w:color w:val="auto"/>
          <w:sz w:val="22"/>
          <w:highlight w:val="none"/>
          <w:lang w:val="en-US" w:eastAsia="zh-CN"/>
        </w:rPr>
        <w:t>四</w:t>
      </w:r>
      <w:r>
        <w:rPr>
          <w:rFonts w:hint="eastAsia" w:ascii="新宋体" w:hAnsi="新宋体" w:eastAsia="新宋体" w:cs="新宋体"/>
          <w:color w:val="auto"/>
          <w:sz w:val="22"/>
          <w:highlight w:val="none"/>
        </w:rPr>
        <w:t>份】；</w:t>
      </w:r>
    </w:p>
    <w:p w14:paraId="704D67AB">
      <w:pPr>
        <w:numPr>
          <w:ilvl w:val="0"/>
          <w:numId w:val="18"/>
        </w:numPr>
        <w:spacing w:line="42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 w:val="22"/>
          <w:highlight w:val="none"/>
        </w:rPr>
        <w:t>按“投标供应商须知”要求编制的投标文件技术资信标【正本一份，副本</w:t>
      </w:r>
      <w:r>
        <w:rPr>
          <w:rFonts w:hint="eastAsia" w:ascii="新宋体" w:hAnsi="新宋体" w:eastAsia="新宋体" w:cs="新宋体"/>
          <w:color w:val="auto"/>
          <w:sz w:val="22"/>
          <w:highlight w:val="none"/>
          <w:lang w:val="en-US" w:eastAsia="zh-CN"/>
        </w:rPr>
        <w:t>四</w:t>
      </w:r>
      <w:r>
        <w:rPr>
          <w:rFonts w:hint="eastAsia" w:ascii="新宋体" w:hAnsi="新宋体" w:eastAsia="新宋体" w:cs="新宋体"/>
          <w:color w:val="auto"/>
          <w:sz w:val="22"/>
          <w:highlight w:val="none"/>
        </w:rPr>
        <w:t>份】；</w:t>
      </w:r>
    </w:p>
    <w:p w14:paraId="648EFFC8">
      <w:pPr>
        <w:numPr>
          <w:ilvl w:val="0"/>
          <w:numId w:val="18"/>
        </w:numPr>
        <w:spacing w:line="42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 w:val="22"/>
          <w:highlight w:val="none"/>
        </w:rPr>
        <w:t>按“投标供应商须知”要求编制的投标文件商务报价标【正本一份，副本</w:t>
      </w:r>
      <w:r>
        <w:rPr>
          <w:rFonts w:hint="eastAsia" w:ascii="新宋体" w:hAnsi="新宋体" w:eastAsia="新宋体" w:cs="新宋体"/>
          <w:color w:val="auto"/>
          <w:sz w:val="22"/>
          <w:highlight w:val="none"/>
          <w:lang w:val="en-US" w:eastAsia="zh-CN"/>
        </w:rPr>
        <w:t>四</w:t>
      </w:r>
      <w:r>
        <w:rPr>
          <w:rFonts w:hint="eastAsia" w:ascii="新宋体" w:hAnsi="新宋体" w:eastAsia="新宋体" w:cs="新宋体"/>
          <w:color w:val="auto"/>
          <w:sz w:val="22"/>
          <w:highlight w:val="none"/>
        </w:rPr>
        <w:t>份】。</w:t>
      </w:r>
    </w:p>
    <w:p w14:paraId="5CF794D0">
      <w:pPr>
        <w:tabs>
          <w:tab w:val="left" w:pos="8124"/>
        </w:tabs>
        <w:autoSpaceDE w:val="0"/>
        <w:autoSpaceDN w:val="0"/>
        <w:adjustRightInd w:val="0"/>
        <w:spacing w:line="420" w:lineRule="atLeast"/>
        <w:ind w:firstLine="440"/>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我方已完全明白采购文件的所有条款要求，并重申以下几点：</w:t>
      </w:r>
      <w:r>
        <w:rPr>
          <w:rFonts w:ascii="新宋体" w:hAnsi="新宋体" w:eastAsia="新宋体" w:cs="新宋体"/>
          <w:color w:val="auto"/>
          <w:kern w:val="0"/>
          <w:sz w:val="22"/>
          <w:szCs w:val="22"/>
          <w:highlight w:val="none"/>
          <w:lang w:val="zh-CN"/>
        </w:rPr>
        <w:tab/>
      </w:r>
    </w:p>
    <w:p w14:paraId="2114E4C1">
      <w:pPr>
        <w:numPr>
          <w:ilvl w:val="0"/>
          <w:numId w:val="19"/>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已详细阅读全部采购文件，包括采购文件补充文件（如果有，包括相关的补充、更正、澄清公告和文件）、参考资料及有关附件，确认无误。我方完全理解并接受采购文件的各项规定和要求。</w:t>
      </w:r>
    </w:p>
    <w:p w14:paraId="399876E3">
      <w:pPr>
        <w:numPr>
          <w:ilvl w:val="0"/>
          <w:numId w:val="19"/>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同意提供按照贵方可能要求的与投标有关的一切数据或资料等。若贵方需要，我方愿意提供我方作出的一切承诺的证明材料。</w:t>
      </w:r>
    </w:p>
    <w:p w14:paraId="2915B3D7">
      <w:pPr>
        <w:numPr>
          <w:ilvl w:val="0"/>
          <w:numId w:val="19"/>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如中标，保证按照采购文件要求及投标文件的承诺与采购人签订合同，保证履行合同条款。</w:t>
      </w:r>
    </w:p>
    <w:p w14:paraId="40A0FC9F">
      <w:pPr>
        <w:numPr>
          <w:ilvl w:val="0"/>
          <w:numId w:val="19"/>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同意在采购文件中投标供应商须知规定的开标日期起遵守本投标书中的承诺且在投标有效期满之前均具有约束力。</w:t>
      </w:r>
    </w:p>
    <w:p w14:paraId="7B083E78">
      <w:pPr>
        <w:numPr>
          <w:ilvl w:val="0"/>
          <w:numId w:val="19"/>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如果在开标后规定的投标有效期内撤回投标，我方的投标保证金可被贵方没收。</w:t>
      </w:r>
    </w:p>
    <w:p w14:paraId="06517237">
      <w:pPr>
        <w:numPr>
          <w:ilvl w:val="0"/>
          <w:numId w:val="19"/>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完全理解贵方不一定要接受最低价的投标。</w:t>
      </w:r>
    </w:p>
    <w:p w14:paraId="7D975BC1">
      <w:pPr>
        <w:numPr>
          <w:ilvl w:val="0"/>
          <w:numId w:val="19"/>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在参加本项目前三年内（被通报或者处罚的违法行为有：</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rPr>
        <w:t>）或（没有因违法经营受到刑事处罚或者责令停产停业、吊销许可证或者执照、较大数额罚款等行政处罚或处罚）或（在</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rPr>
        <w:t>至</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rPr>
        <w:t>期间禁止参加采购活动但是期限届满，须附相关证明文件）</w:t>
      </w:r>
    </w:p>
    <w:p w14:paraId="32A7E8A9">
      <w:pPr>
        <w:numPr>
          <w:ilvl w:val="0"/>
          <w:numId w:val="19"/>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单位、法定代表人、本项目授权代表及本项目负责人在参加本项目前三年内（以法院判决书生效日期为准）均无行贿犯罪记录。</w:t>
      </w:r>
    </w:p>
    <w:p w14:paraId="6E956472">
      <w:pPr>
        <w:numPr>
          <w:ilvl w:val="0"/>
          <w:numId w:val="19"/>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如有列情形之一的，我方愿意被取消中标资格（如中标），并可没收我方的投标保证金，同时继续承担其他一切法律后果，并不再寻求任何旨在减轻或免除法律责任的解释：</w:t>
      </w:r>
    </w:p>
    <w:p w14:paraId="743B6D6F">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(1)提供虚假材料（承诺）谋取中标、成交的；</w:t>
      </w:r>
    </w:p>
    <w:p w14:paraId="26E23DA0">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(2)采取不正当手段诋毁、排挤其他投标供应商的；</w:t>
      </w:r>
    </w:p>
    <w:p w14:paraId="5062F82B">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(3)与采购人、其它投标供应商或者采购代理机构恶意串通的；</w:t>
      </w:r>
    </w:p>
    <w:p w14:paraId="7FD769AD">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(4)向采购人、采购代理机构行贿或者提供其他不正当利益的；</w:t>
      </w:r>
    </w:p>
    <w:p w14:paraId="05FE0CCF">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(5)在采购过程中与采购人进行协商谈判的；</w:t>
      </w:r>
    </w:p>
    <w:p w14:paraId="7E3E1785">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(6)拒绝有关部门监督检查或提供虚假情况的。</w:t>
      </w:r>
    </w:p>
    <w:p w14:paraId="2F193D9B">
      <w:pPr>
        <w:numPr>
          <w:ilvl w:val="0"/>
          <w:numId w:val="19"/>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所有与本投标有关的函件请发往下列地址：</w:t>
      </w:r>
    </w:p>
    <w:p w14:paraId="765D398C">
      <w:pPr>
        <w:spacing w:line="420" w:lineRule="exact"/>
        <w:ind w:firstLine="43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地址</w:t>
      </w:r>
      <w:r>
        <w:rPr>
          <w:rFonts w:hint="eastAsia" w:ascii="新宋体" w:hAnsi="新宋体" w:eastAsia="新宋体" w:cs="新宋体"/>
          <w:color w:val="auto"/>
          <w:sz w:val="22"/>
          <w:szCs w:val="22"/>
          <w:highlight w:val="none"/>
          <w:u w:val="single"/>
        </w:rPr>
        <w:t xml:space="preserve">                           </w:t>
      </w:r>
    </w:p>
    <w:p w14:paraId="7175B2AE">
      <w:pPr>
        <w:spacing w:line="420" w:lineRule="exact"/>
        <w:ind w:firstLine="43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电话</w:t>
      </w:r>
      <w:r>
        <w:rPr>
          <w:rFonts w:hint="eastAsia" w:ascii="新宋体" w:hAnsi="新宋体" w:eastAsia="新宋体" w:cs="新宋体"/>
          <w:color w:val="auto"/>
          <w:sz w:val="22"/>
          <w:szCs w:val="22"/>
          <w:highlight w:val="none"/>
          <w:u w:val="single"/>
        </w:rPr>
        <w:t xml:space="preserve">                           </w:t>
      </w:r>
    </w:p>
    <w:p w14:paraId="4B54C31C">
      <w:pPr>
        <w:spacing w:line="420" w:lineRule="exact"/>
        <w:ind w:firstLine="435"/>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 xml:space="preserve">   传真</w:t>
      </w:r>
      <w:r>
        <w:rPr>
          <w:rFonts w:hint="eastAsia" w:ascii="新宋体" w:hAnsi="新宋体" w:eastAsia="新宋体" w:cs="新宋体"/>
          <w:color w:val="auto"/>
          <w:sz w:val="22"/>
          <w:szCs w:val="22"/>
          <w:highlight w:val="none"/>
          <w:u w:val="single"/>
        </w:rPr>
        <w:t xml:space="preserve">                           </w:t>
      </w:r>
    </w:p>
    <w:p w14:paraId="0DCDD36E">
      <w:pPr>
        <w:spacing w:line="42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电子邮件</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 xml:space="preserve">                       </w:t>
      </w:r>
    </w:p>
    <w:p w14:paraId="2C34D6AA">
      <w:pPr>
        <w:spacing w:line="420" w:lineRule="exact"/>
        <w:ind w:firstLine="435"/>
        <w:rPr>
          <w:rFonts w:hint="eastAsia" w:ascii="新宋体" w:hAnsi="新宋体" w:eastAsia="新宋体" w:cs="新宋体"/>
          <w:color w:val="auto"/>
          <w:sz w:val="22"/>
          <w:szCs w:val="22"/>
          <w:highlight w:val="none"/>
        </w:rPr>
      </w:pPr>
    </w:p>
    <w:p w14:paraId="021BF7FA">
      <w:pPr>
        <w:spacing w:line="420" w:lineRule="exact"/>
        <w:ind w:firstLine="46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投标供应商名称（盖章）</w:t>
      </w:r>
      <w:r>
        <w:rPr>
          <w:rFonts w:hint="eastAsia" w:ascii="新宋体" w:hAnsi="新宋体" w:eastAsia="新宋体" w:cs="新宋体"/>
          <w:color w:val="auto"/>
          <w:sz w:val="22"/>
          <w:szCs w:val="22"/>
          <w:highlight w:val="none"/>
          <w:u w:val="single"/>
        </w:rPr>
        <w:t xml:space="preserve">                  </w:t>
      </w:r>
    </w:p>
    <w:p w14:paraId="0604D87D">
      <w:pPr>
        <w:spacing w:line="420" w:lineRule="exact"/>
        <w:ind w:firstLine="46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法定代表人或授权代表（签字或盖章）</w:t>
      </w:r>
      <w:r>
        <w:rPr>
          <w:rFonts w:hint="eastAsia" w:ascii="新宋体" w:hAnsi="新宋体" w:eastAsia="新宋体" w:cs="新宋体"/>
          <w:color w:val="auto"/>
          <w:sz w:val="22"/>
          <w:szCs w:val="22"/>
          <w:highlight w:val="none"/>
          <w:u w:val="single"/>
        </w:rPr>
        <w:t xml:space="preserve">                   </w:t>
      </w:r>
    </w:p>
    <w:p w14:paraId="02F1DC67">
      <w:pPr>
        <w:spacing w:line="460" w:lineRule="exact"/>
        <w:ind w:firstLine="462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日    期</w:t>
      </w:r>
      <w:r>
        <w:rPr>
          <w:rFonts w:hint="eastAsia" w:ascii="新宋体" w:hAnsi="新宋体" w:eastAsia="新宋体" w:cs="新宋体"/>
          <w:color w:val="auto"/>
          <w:sz w:val="22"/>
          <w:szCs w:val="22"/>
          <w:highlight w:val="none"/>
          <w:u w:val="single"/>
        </w:rPr>
        <w:t xml:space="preserve">           </w:t>
      </w:r>
    </w:p>
    <w:p w14:paraId="13A10D3D">
      <w:pPr>
        <w:spacing w:line="460" w:lineRule="exact"/>
        <w:ind w:firstLine="4620"/>
        <w:rPr>
          <w:rFonts w:hint="eastAsia" w:ascii="新宋体" w:hAnsi="新宋体" w:eastAsia="新宋体" w:cs="新宋体"/>
          <w:color w:val="auto"/>
          <w:sz w:val="22"/>
          <w:szCs w:val="22"/>
          <w:highlight w:val="none"/>
          <w:u w:val="single"/>
        </w:rPr>
      </w:pPr>
    </w:p>
    <w:p w14:paraId="24859FBB">
      <w:pPr>
        <w:spacing w:line="420" w:lineRule="exact"/>
        <w:ind w:firstLine="442" w:firstLineChars="200"/>
        <w:rPr>
          <w:rFonts w:hint="eastAsia" w:ascii="新宋体" w:hAnsi="新宋体" w:eastAsia="新宋体" w:cs="新宋体"/>
          <w:color w:val="auto"/>
          <w:sz w:val="22"/>
          <w:highlight w:val="none"/>
        </w:rPr>
      </w:pPr>
      <w:r>
        <w:rPr>
          <w:rFonts w:hint="eastAsia" w:ascii="新宋体" w:hAnsi="新宋体" w:eastAsia="新宋体" w:cs="新宋体"/>
          <w:b/>
          <w:color w:val="auto"/>
          <w:sz w:val="22"/>
          <w:szCs w:val="22"/>
          <w:highlight w:val="none"/>
          <w:u w:val="single"/>
        </w:rPr>
        <w:t>▲不提供投标函的投标文件将被视为未实质性响应采购文件。</w:t>
      </w:r>
    </w:p>
    <w:p w14:paraId="354D7FD7">
      <w:pPr>
        <w:spacing w:line="380" w:lineRule="exact"/>
        <w:rPr>
          <w:rFonts w:hint="eastAsia" w:ascii="新宋体" w:hAnsi="新宋体" w:eastAsia="新宋体" w:cs="新宋体"/>
          <w:b/>
          <w:bCs/>
          <w:color w:val="auto"/>
          <w:sz w:val="22"/>
          <w:szCs w:val="22"/>
          <w:highlight w:val="none"/>
        </w:rPr>
      </w:pPr>
    </w:p>
    <w:p w14:paraId="792E1BEA">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rPr>
        <w:t>附件二：</w:t>
      </w:r>
    </w:p>
    <w:p w14:paraId="78F1E4C7">
      <w:pPr>
        <w:spacing w:line="46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技术参数应答表</w:t>
      </w:r>
    </w:p>
    <w:p w14:paraId="72E2A166">
      <w:pPr>
        <w:ind w:firstLine="435"/>
        <w:jc w:val="center"/>
        <w:rPr>
          <w:rFonts w:hint="eastAsia" w:ascii="新宋体" w:hAnsi="新宋体" w:eastAsia="新宋体" w:cs="新宋体"/>
          <w:b/>
          <w:color w:val="auto"/>
          <w:sz w:val="44"/>
          <w:highlight w:val="none"/>
        </w:rPr>
      </w:pPr>
    </w:p>
    <w:p w14:paraId="7B56B0AD">
      <w:pPr>
        <w:overflowPunct w:val="0"/>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4"/>
          <w:highlight w:val="none"/>
        </w:rPr>
        <w:t xml:space="preserve">   </w:t>
      </w:r>
      <w:r>
        <w:rPr>
          <w:rFonts w:hint="eastAsia" w:ascii="新宋体" w:hAnsi="新宋体" w:eastAsia="新宋体" w:cs="新宋体"/>
          <w:bCs/>
          <w:color w:val="auto"/>
          <w:sz w:val="22"/>
          <w:szCs w:val="22"/>
          <w:highlight w:val="none"/>
        </w:rPr>
        <w:t>项目名称：                                      采购编号：</w:t>
      </w:r>
    </w:p>
    <w:p w14:paraId="47C4C8F8">
      <w:pPr>
        <w:ind w:firstLine="361" w:firstLineChars="150"/>
        <w:rPr>
          <w:rFonts w:hint="eastAsia" w:ascii="新宋体" w:hAnsi="新宋体" w:eastAsia="新宋体" w:cs="新宋体"/>
          <w:b/>
          <w:color w:val="auto"/>
          <w:sz w:val="24"/>
          <w:highlight w:val="none"/>
        </w:rPr>
      </w:pP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3"/>
        <w:gridCol w:w="2538"/>
        <w:gridCol w:w="2326"/>
        <w:gridCol w:w="2115"/>
        <w:gridCol w:w="1902"/>
      </w:tblGrid>
      <w:tr w14:paraId="441548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73" w:type="dxa"/>
            <w:vAlign w:val="center"/>
          </w:tcPr>
          <w:p w14:paraId="635EB020">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538" w:type="dxa"/>
            <w:vAlign w:val="center"/>
          </w:tcPr>
          <w:p w14:paraId="4297BA41">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采购文件技术规格</w:t>
            </w:r>
          </w:p>
        </w:tc>
        <w:tc>
          <w:tcPr>
            <w:tcW w:w="2326" w:type="dxa"/>
            <w:vAlign w:val="center"/>
          </w:tcPr>
          <w:p w14:paraId="51D12867">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实际技术规格</w:t>
            </w:r>
          </w:p>
        </w:tc>
        <w:tc>
          <w:tcPr>
            <w:tcW w:w="2115" w:type="dxa"/>
            <w:vAlign w:val="center"/>
          </w:tcPr>
          <w:p w14:paraId="6007DA9F">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偏离</w:t>
            </w:r>
          </w:p>
        </w:tc>
        <w:tc>
          <w:tcPr>
            <w:tcW w:w="1902" w:type="dxa"/>
            <w:vAlign w:val="center"/>
          </w:tcPr>
          <w:p w14:paraId="285AF27C">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  明</w:t>
            </w:r>
          </w:p>
        </w:tc>
      </w:tr>
      <w:tr w14:paraId="0ED343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973" w:type="dxa"/>
            <w:vAlign w:val="center"/>
          </w:tcPr>
          <w:p w14:paraId="7F790B3B">
            <w:pPr>
              <w:jc w:val="center"/>
              <w:rPr>
                <w:rFonts w:hint="eastAsia" w:ascii="新宋体" w:hAnsi="新宋体" w:eastAsia="新宋体" w:cs="新宋体"/>
                <w:color w:val="auto"/>
                <w:sz w:val="22"/>
                <w:szCs w:val="22"/>
                <w:highlight w:val="none"/>
              </w:rPr>
            </w:pPr>
          </w:p>
        </w:tc>
        <w:tc>
          <w:tcPr>
            <w:tcW w:w="2538" w:type="dxa"/>
            <w:vAlign w:val="center"/>
          </w:tcPr>
          <w:p w14:paraId="61B0DCB4">
            <w:pPr>
              <w:jc w:val="center"/>
              <w:rPr>
                <w:rFonts w:hint="eastAsia" w:ascii="新宋体" w:hAnsi="新宋体" w:eastAsia="新宋体" w:cs="新宋体"/>
                <w:color w:val="auto"/>
                <w:sz w:val="22"/>
                <w:szCs w:val="22"/>
                <w:highlight w:val="none"/>
              </w:rPr>
            </w:pPr>
          </w:p>
        </w:tc>
        <w:tc>
          <w:tcPr>
            <w:tcW w:w="2326" w:type="dxa"/>
            <w:vAlign w:val="center"/>
          </w:tcPr>
          <w:p w14:paraId="590FD269">
            <w:pPr>
              <w:jc w:val="center"/>
              <w:rPr>
                <w:rFonts w:hint="eastAsia" w:ascii="新宋体" w:hAnsi="新宋体" w:eastAsia="新宋体" w:cs="新宋体"/>
                <w:color w:val="auto"/>
                <w:sz w:val="22"/>
                <w:szCs w:val="22"/>
                <w:highlight w:val="none"/>
              </w:rPr>
            </w:pPr>
          </w:p>
        </w:tc>
        <w:tc>
          <w:tcPr>
            <w:tcW w:w="2115" w:type="dxa"/>
            <w:vAlign w:val="center"/>
          </w:tcPr>
          <w:p w14:paraId="4F07EAFF">
            <w:pPr>
              <w:jc w:val="center"/>
              <w:rPr>
                <w:rFonts w:hint="eastAsia" w:ascii="新宋体" w:hAnsi="新宋体" w:eastAsia="新宋体" w:cs="新宋体"/>
                <w:color w:val="auto"/>
                <w:sz w:val="22"/>
                <w:szCs w:val="22"/>
                <w:highlight w:val="none"/>
              </w:rPr>
            </w:pPr>
          </w:p>
        </w:tc>
        <w:tc>
          <w:tcPr>
            <w:tcW w:w="1902" w:type="dxa"/>
            <w:vAlign w:val="center"/>
          </w:tcPr>
          <w:p w14:paraId="7DCF2534">
            <w:pPr>
              <w:jc w:val="center"/>
              <w:rPr>
                <w:rFonts w:hint="eastAsia" w:ascii="新宋体" w:hAnsi="新宋体" w:eastAsia="新宋体" w:cs="新宋体"/>
                <w:color w:val="auto"/>
                <w:sz w:val="22"/>
                <w:szCs w:val="22"/>
                <w:highlight w:val="none"/>
              </w:rPr>
            </w:pPr>
          </w:p>
        </w:tc>
      </w:tr>
      <w:tr w14:paraId="26EF36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14:paraId="59D78954">
            <w:pPr>
              <w:jc w:val="center"/>
              <w:rPr>
                <w:rFonts w:hint="eastAsia" w:ascii="新宋体" w:hAnsi="新宋体" w:eastAsia="新宋体" w:cs="新宋体"/>
                <w:color w:val="auto"/>
                <w:sz w:val="22"/>
                <w:szCs w:val="22"/>
                <w:highlight w:val="none"/>
              </w:rPr>
            </w:pPr>
          </w:p>
        </w:tc>
        <w:tc>
          <w:tcPr>
            <w:tcW w:w="2538" w:type="dxa"/>
            <w:vAlign w:val="center"/>
          </w:tcPr>
          <w:p w14:paraId="3CBC3AAD">
            <w:pPr>
              <w:jc w:val="center"/>
              <w:rPr>
                <w:rFonts w:hint="eastAsia" w:ascii="新宋体" w:hAnsi="新宋体" w:eastAsia="新宋体" w:cs="新宋体"/>
                <w:color w:val="auto"/>
                <w:sz w:val="22"/>
                <w:szCs w:val="22"/>
                <w:highlight w:val="none"/>
              </w:rPr>
            </w:pPr>
          </w:p>
        </w:tc>
        <w:tc>
          <w:tcPr>
            <w:tcW w:w="2326" w:type="dxa"/>
            <w:vAlign w:val="center"/>
          </w:tcPr>
          <w:p w14:paraId="1C23CC8D">
            <w:pPr>
              <w:jc w:val="center"/>
              <w:rPr>
                <w:rFonts w:hint="eastAsia" w:ascii="新宋体" w:hAnsi="新宋体" w:eastAsia="新宋体" w:cs="新宋体"/>
                <w:color w:val="auto"/>
                <w:sz w:val="22"/>
                <w:szCs w:val="22"/>
                <w:highlight w:val="none"/>
              </w:rPr>
            </w:pPr>
          </w:p>
        </w:tc>
        <w:tc>
          <w:tcPr>
            <w:tcW w:w="2115" w:type="dxa"/>
            <w:vAlign w:val="center"/>
          </w:tcPr>
          <w:p w14:paraId="246AFE90">
            <w:pPr>
              <w:jc w:val="center"/>
              <w:rPr>
                <w:rFonts w:hint="eastAsia" w:ascii="新宋体" w:hAnsi="新宋体" w:eastAsia="新宋体" w:cs="新宋体"/>
                <w:color w:val="auto"/>
                <w:sz w:val="22"/>
                <w:szCs w:val="22"/>
                <w:highlight w:val="none"/>
              </w:rPr>
            </w:pPr>
          </w:p>
        </w:tc>
        <w:tc>
          <w:tcPr>
            <w:tcW w:w="1902" w:type="dxa"/>
            <w:vAlign w:val="center"/>
          </w:tcPr>
          <w:p w14:paraId="37B49CC6">
            <w:pPr>
              <w:jc w:val="center"/>
              <w:rPr>
                <w:rFonts w:hint="eastAsia" w:ascii="新宋体" w:hAnsi="新宋体" w:eastAsia="新宋体" w:cs="新宋体"/>
                <w:color w:val="auto"/>
                <w:sz w:val="22"/>
                <w:szCs w:val="22"/>
                <w:highlight w:val="none"/>
              </w:rPr>
            </w:pPr>
          </w:p>
        </w:tc>
      </w:tr>
      <w:tr w14:paraId="06C5FD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14:paraId="41FEBC9C">
            <w:pPr>
              <w:jc w:val="center"/>
              <w:rPr>
                <w:rFonts w:hint="eastAsia" w:ascii="新宋体" w:hAnsi="新宋体" w:eastAsia="新宋体" w:cs="新宋体"/>
                <w:color w:val="auto"/>
                <w:sz w:val="22"/>
                <w:szCs w:val="22"/>
                <w:highlight w:val="none"/>
              </w:rPr>
            </w:pPr>
          </w:p>
        </w:tc>
        <w:tc>
          <w:tcPr>
            <w:tcW w:w="2538" w:type="dxa"/>
            <w:vAlign w:val="center"/>
          </w:tcPr>
          <w:p w14:paraId="64967919">
            <w:pPr>
              <w:jc w:val="center"/>
              <w:rPr>
                <w:rFonts w:hint="eastAsia" w:ascii="新宋体" w:hAnsi="新宋体" w:eastAsia="新宋体" w:cs="新宋体"/>
                <w:color w:val="auto"/>
                <w:sz w:val="22"/>
                <w:szCs w:val="22"/>
                <w:highlight w:val="none"/>
              </w:rPr>
            </w:pPr>
          </w:p>
        </w:tc>
        <w:tc>
          <w:tcPr>
            <w:tcW w:w="2326" w:type="dxa"/>
            <w:vAlign w:val="center"/>
          </w:tcPr>
          <w:p w14:paraId="7BB09868">
            <w:pPr>
              <w:jc w:val="center"/>
              <w:rPr>
                <w:rFonts w:hint="eastAsia" w:ascii="新宋体" w:hAnsi="新宋体" w:eastAsia="新宋体" w:cs="新宋体"/>
                <w:color w:val="auto"/>
                <w:sz w:val="22"/>
                <w:szCs w:val="22"/>
                <w:highlight w:val="none"/>
              </w:rPr>
            </w:pPr>
          </w:p>
        </w:tc>
        <w:tc>
          <w:tcPr>
            <w:tcW w:w="2115" w:type="dxa"/>
            <w:vAlign w:val="center"/>
          </w:tcPr>
          <w:p w14:paraId="40D3D64D">
            <w:pPr>
              <w:jc w:val="center"/>
              <w:rPr>
                <w:rFonts w:hint="eastAsia" w:ascii="新宋体" w:hAnsi="新宋体" w:eastAsia="新宋体" w:cs="新宋体"/>
                <w:color w:val="auto"/>
                <w:sz w:val="22"/>
                <w:szCs w:val="22"/>
                <w:highlight w:val="none"/>
              </w:rPr>
            </w:pPr>
          </w:p>
        </w:tc>
        <w:tc>
          <w:tcPr>
            <w:tcW w:w="1902" w:type="dxa"/>
            <w:vAlign w:val="center"/>
          </w:tcPr>
          <w:p w14:paraId="19D12004">
            <w:pPr>
              <w:jc w:val="center"/>
              <w:rPr>
                <w:rFonts w:hint="eastAsia" w:ascii="新宋体" w:hAnsi="新宋体" w:eastAsia="新宋体" w:cs="新宋体"/>
                <w:color w:val="auto"/>
                <w:sz w:val="22"/>
                <w:szCs w:val="22"/>
                <w:highlight w:val="none"/>
              </w:rPr>
            </w:pPr>
          </w:p>
        </w:tc>
      </w:tr>
      <w:tr w14:paraId="300EED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14:paraId="7494BBCF">
            <w:pPr>
              <w:jc w:val="center"/>
              <w:rPr>
                <w:rFonts w:hint="eastAsia" w:ascii="新宋体" w:hAnsi="新宋体" w:eastAsia="新宋体" w:cs="新宋体"/>
                <w:color w:val="auto"/>
                <w:sz w:val="22"/>
                <w:szCs w:val="22"/>
                <w:highlight w:val="none"/>
              </w:rPr>
            </w:pPr>
          </w:p>
        </w:tc>
        <w:tc>
          <w:tcPr>
            <w:tcW w:w="2538" w:type="dxa"/>
            <w:vAlign w:val="center"/>
          </w:tcPr>
          <w:p w14:paraId="08F5DFCD">
            <w:pPr>
              <w:jc w:val="center"/>
              <w:rPr>
                <w:rFonts w:hint="eastAsia" w:ascii="新宋体" w:hAnsi="新宋体" w:eastAsia="新宋体" w:cs="新宋体"/>
                <w:color w:val="auto"/>
                <w:sz w:val="22"/>
                <w:szCs w:val="22"/>
                <w:highlight w:val="none"/>
              </w:rPr>
            </w:pPr>
          </w:p>
        </w:tc>
        <w:tc>
          <w:tcPr>
            <w:tcW w:w="2326" w:type="dxa"/>
            <w:vAlign w:val="center"/>
          </w:tcPr>
          <w:p w14:paraId="5B9768A7">
            <w:pPr>
              <w:jc w:val="center"/>
              <w:rPr>
                <w:rFonts w:hint="eastAsia" w:ascii="新宋体" w:hAnsi="新宋体" w:eastAsia="新宋体" w:cs="新宋体"/>
                <w:color w:val="auto"/>
                <w:sz w:val="22"/>
                <w:szCs w:val="22"/>
                <w:highlight w:val="none"/>
              </w:rPr>
            </w:pPr>
          </w:p>
        </w:tc>
        <w:tc>
          <w:tcPr>
            <w:tcW w:w="2115" w:type="dxa"/>
            <w:vAlign w:val="center"/>
          </w:tcPr>
          <w:p w14:paraId="5A96BCD0">
            <w:pPr>
              <w:jc w:val="center"/>
              <w:rPr>
                <w:rFonts w:hint="eastAsia" w:ascii="新宋体" w:hAnsi="新宋体" w:eastAsia="新宋体" w:cs="新宋体"/>
                <w:color w:val="auto"/>
                <w:sz w:val="22"/>
                <w:szCs w:val="22"/>
                <w:highlight w:val="none"/>
              </w:rPr>
            </w:pPr>
          </w:p>
        </w:tc>
        <w:tc>
          <w:tcPr>
            <w:tcW w:w="1902" w:type="dxa"/>
            <w:vAlign w:val="center"/>
          </w:tcPr>
          <w:p w14:paraId="63D651D9">
            <w:pPr>
              <w:jc w:val="center"/>
              <w:rPr>
                <w:rFonts w:hint="eastAsia" w:ascii="新宋体" w:hAnsi="新宋体" w:eastAsia="新宋体" w:cs="新宋体"/>
                <w:color w:val="auto"/>
                <w:sz w:val="22"/>
                <w:szCs w:val="22"/>
                <w:highlight w:val="none"/>
              </w:rPr>
            </w:pPr>
          </w:p>
        </w:tc>
      </w:tr>
      <w:tr w14:paraId="2281B1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14:paraId="47B2FD17">
            <w:pPr>
              <w:jc w:val="center"/>
              <w:rPr>
                <w:rFonts w:hint="eastAsia" w:ascii="新宋体" w:hAnsi="新宋体" w:eastAsia="新宋体" w:cs="新宋体"/>
                <w:color w:val="auto"/>
                <w:sz w:val="22"/>
                <w:szCs w:val="22"/>
                <w:highlight w:val="none"/>
              </w:rPr>
            </w:pPr>
          </w:p>
        </w:tc>
        <w:tc>
          <w:tcPr>
            <w:tcW w:w="2538" w:type="dxa"/>
            <w:vAlign w:val="center"/>
          </w:tcPr>
          <w:p w14:paraId="38A42BD4">
            <w:pPr>
              <w:jc w:val="center"/>
              <w:rPr>
                <w:rFonts w:hint="eastAsia" w:ascii="新宋体" w:hAnsi="新宋体" w:eastAsia="新宋体" w:cs="新宋体"/>
                <w:color w:val="auto"/>
                <w:sz w:val="22"/>
                <w:szCs w:val="22"/>
                <w:highlight w:val="none"/>
              </w:rPr>
            </w:pPr>
          </w:p>
        </w:tc>
        <w:tc>
          <w:tcPr>
            <w:tcW w:w="2326" w:type="dxa"/>
            <w:vAlign w:val="center"/>
          </w:tcPr>
          <w:p w14:paraId="0D324101">
            <w:pPr>
              <w:jc w:val="center"/>
              <w:rPr>
                <w:rFonts w:hint="eastAsia" w:ascii="新宋体" w:hAnsi="新宋体" w:eastAsia="新宋体" w:cs="新宋体"/>
                <w:color w:val="auto"/>
                <w:sz w:val="22"/>
                <w:szCs w:val="22"/>
                <w:highlight w:val="none"/>
              </w:rPr>
            </w:pPr>
          </w:p>
        </w:tc>
        <w:tc>
          <w:tcPr>
            <w:tcW w:w="2115" w:type="dxa"/>
            <w:vAlign w:val="center"/>
          </w:tcPr>
          <w:p w14:paraId="5BF486CC">
            <w:pPr>
              <w:jc w:val="center"/>
              <w:rPr>
                <w:rFonts w:hint="eastAsia" w:ascii="新宋体" w:hAnsi="新宋体" w:eastAsia="新宋体" w:cs="新宋体"/>
                <w:color w:val="auto"/>
                <w:sz w:val="22"/>
                <w:szCs w:val="22"/>
                <w:highlight w:val="none"/>
              </w:rPr>
            </w:pPr>
          </w:p>
        </w:tc>
        <w:tc>
          <w:tcPr>
            <w:tcW w:w="1902" w:type="dxa"/>
            <w:vAlign w:val="center"/>
          </w:tcPr>
          <w:p w14:paraId="4EE42C3B">
            <w:pPr>
              <w:jc w:val="center"/>
              <w:rPr>
                <w:rFonts w:hint="eastAsia" w:ascii="新宋体" w:hAnsi="新宋体" w:eastAsia="新宋体" w:cs="新宋体"/>
                <w:color w:val="auto"/>
                <w:sz w:val="22"/>
                <w:szCs w:val="22"/>
                <w:highlight w:val="none"/>
              </w:rPr>
            </w:pPr>
          </w:p>
        </w:tc>
      </w:tr>
    </w:tbl>
    <w:p w14:paraId="647F40FD">
      <w:pPr>
        <w:rPr>
          <w:rFonts w:hint="eastAsia" w:ascii="新宋体" w:hAnsi="新宋体" w:eastAsia="新宋体" w:cs="新宋体"/>
          <w:color w:val="auto"/>
          <w:sz w:val="24"/>
          <w:highlight w:val="none"/>
        </w:rPr>
      </w:pPr>
    </w:p>
    <w:p w14:paraId="00ED06D3">
      <w:pPr>
        <w:spacing w:line="400" w:lineRule="exact"/>
        <w:ind w:left="218" w:leftChars="104"/>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说明：</w:t>
      </w:r>
      <w:r>
        <w:rPr>
          <w:rFonts w:hint="eastAsia" w:ascii="新宋体" w:hAnsi="新宋体" w:eastAsia="新宋体"/>
          <w:b/>
          <w:bCs/>
          <w:color w:val="auto"/>
          <w:sz w:val="22"/>
          <w:szCs w:val="22"/>
          <w:highlight w:val="none"/>
        </w:rPr>
        <w:t>不填写此表视作完全响应采购文件要求</w:t>
      </w:r>
    </w:p>
    <w:p w14:paraId="202B891F">
      <w:pPr>
        <w:spacing w:line="400" w:lineRule="exact"/>
        <w:rPr>
          <w:rFonts w:hint="eastAsia" w:ascii="新宋体" w:hAnsi="新宋体" w:eastAsia="新宋体" w:cs="新宋体"/>
          <w:color w:val="auto"/>
          <w:sz w:val="22"/>
          <w:szCs w:val="22"/>
          <w:highlight w:val="none"/>
        </w:rPr>
      </w:pPr>
    </w:p>
    <w:p w14:paraId="41383424">
      <w:pPr>
        <w:spacing w:line="400" w:lineRule="exact"/>
        <w:rPr>
          <w:rFonts w:hint="eastAsia" w:ascii="新宋体" w:hAnsi="新宋体" w:eastAsia="新宋体" w:cs="新宋体"/>
          <w:color w:val="auto"/>
          <w:sz w:val="22"/>
          <w:szCs w:val="22"/>
          <w:highlight w:val="none"/>
        </w:rPr>
      </w:pPr>
    </w:p>
    <w:p w14:paraId="2435322B">
      <w:pPr>
        <w:spacing w:line="400" w:lineRule="exact"/>
        <w:rPr>
          <w:rFonts w:hint="eastAsia" w:ascii="新宋体" w:hAnsi="新宋体" w:eastAsia="新宋体" w:cs="新宋体"/>
          <w:color w:val="auto"/>
          <w:sz w:val="22"/>
          <w:szCs w:val="22"/>
          <w:highlight w:val="none"/>
        </w:rPr>
      </w:pPr>
    </w:p>
    <w:p w14:paraId="27D258C4">
      <w:pPr>
        <w:spacing w:line="400" w:lineRule="exact"/>
        <w:rPr>
          <w:rFonts w:hint="eastAsia" w:ascii="新宋体" w:hAnsi="新宋体" w:eastAsia="新宋体" w:cs="新宋体"/>
          <w:color w:val="auto"/>
          <w:sz w:val="22"/>
          <w:szCs w:val="22"/>
          <w:highlight w:val="none"/>
        </w:rPr>
      </w:pPr>
    </w:p>
    <w:p w14:paraId="4BA41312">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14:paraId="707C7865">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法定代表人或授权代表（签字或盖章）：</w:t>
      </w:r>
    </w:p>
    <w:p w14:paraId="7223B93E">
      <w:pPr>
        <w:spacing w:line="40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5F8677C8">
      <w:pPr>
        <w:spacing w:line="400" w:lineRule="exact"/>
        <w:rPr>
          <w:rFonts w:hint="eastAsia" w:ascii="新宋体" w:hAnsi="新宋体" w:eastAsia="新宋体" w:cs="新宋体"/>
          <w:color w:val="auto"/>
          <w:sz w:val="22"/>
          <w:szCs w:val="22"/>
          <w:highlight w:val="none"/>
        </w:rPr>
      </w:pPr>
    </w:p>
    <w:p w14:paraId="44AE2207">
      <w:pPr>
        <w:spacing w:line="500" w:lineRule="exact"/>
        <w:jc w:val="left"/>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br w:type="page"/>
      </w:r>
      <w:r>
        <w:rPr>
          <w:rFonts w:hint="eastAsia" w:ascii="新宋体" w:hAnsi="新宋体" w:eastAsia="新宋体" w:cs="新宋体"/>
          <w:b/>
          <w:bCs/>
          <w:color w:val="auto"/>
          <w:sz w:val="24"/>
          <w:highlight w:val="none"/>
        </w:rPr>
        <w:t>附件三：</w:t>
      </w:r>
    </w:p>
    <w:p w14:paraId="675C2F5F">
      <w:pPr>
        <w:spacing w:line="50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商务条款偏离表</w:t>
      </w:r>
    </w:p>
    <w:p w14:paraId="56923EA1">
      <w:pPr>
        <w:ind w:firstLine="435"/>
        <w:jc w:val="center"/>
        <w:rPr>
          <w:rFonts w:hint="eastAsia" w:ascii="新宋体" w:hAnsi="新宋体" w:eastAsia="新宋体" w:cs="新宋体"/>
          <w:b/>
          <w:color w:val="auto"/>
          <w:sz w:val="44"/>
          <w:highlight w:val="none"/>
        </w:rPr>
      </w:pPr>
    </w:p>
    <w:p w14:paraId="43798EA4">
      <w:pPr>
        <w:overflowPunct w:val="0"/>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 xml:space="preserve">  </w:t>
      </w:r>
      <w:r>
        <w:rPr>
          <w:rFonts w:hint="eastAsia" w:ascii="新宋体" w:hAnsi="新宋体" w:eastAsia="新宋体" w:cs="新宋体"/>
          <w:bCs/>
          <w:color w:val="auto"/>
          <w:sz w:val="22"/>
          <w:szCs w:val="22"/>
          <w:highlight w:val="none"/>
        </w:rPr>
        <w:t>项目名称：                                      采购编号：</w:t>
      </w:r>
    </w:p>
    <w:p w14:paraId="2961EF7D">
      <w:pPr>
        <w:ind w:firstLine="221" w:firstLineChars="100"/>
        <w:rPr>
          <w:rFonts w:hint="eastAsia" w:ascii="新宋体" w:hAnsi="新宋体" w:eastAsia="新宋体" w:cs="新宋体"/>
          <w:b/>
          <w:color w:val="auto"/>
          <w:sz w:val="22"/>
          <w:szCs w:val="22"/>
          <w:highlight w:val="none"/>
        </w:rPr>
      </w:pP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1559"/>
        <w:gridCol w:w="2184"/>
        <w:gridCol w:w="2402"/>
        <w:gridCol w:w="1200"/>
        <w:gridCol w:w="1588"/>
      </w:tblGrid>
      <w:tr w14:paraId="583ECC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21" w:type="dxa"/>
            <w:vAlign w:val="center"/>
          </w:tcPr>
          <w:p w14:paraId="2D2D53F2">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1559" w:type="dxa"/>
            <w:vAlign w:val="center"/>
          </w:tcPr>
          <w:p w14:paraId="3EFA33F8">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条款内容</w:t>
            </w:r>
          </w:p>
        </w:tc>
        <w:tc>
          <w:tcPr>
            <w:tcW w:w="2184" w:type="dxa"/>
            <w:vAlign w:val="center"/>
          </w:tcPr>
          <w:p w14:paraId="1FA88EC2">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采购文件商务条款描述</w:t>
            </w:r>
          </w:p>
        </w:tc>
        <w:tc>
          <w:tcPr>
            <w:tcW w:w="2402" w:type="dxa"/>
            <w:vAlign w:val="center"/>
          </w:tcPr>
          <w:p w14:paraId="20795DE7">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投标文件商务条款</w:t>
            </w:r>
          </w:p>
        </w:tc>
        <w:tc>
          <w:tcPr>
            <w:tcW w:w="1200" w:type="dxa"/>
            <w:vAlign w:val="center"/>
          </w:tcPr>
          <w:p w14:paraId="6B142DF3">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偏离</w:t>
            </w:r>
          </w:p>
        </w:tc>
        <w:tc>
          <w:tcPr>
            <w:tcW w:w="1588" w:type="dxa"/>
            <w:vAlign w:val="center"/>
          </w:tcPr>
          <w:p w14:paraId="0033A49D">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   明</w:t>
            </w:r>
          </w:p>
        </w:tc>
      </w:tr>
      <w:tr w14:paraId="7F2C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40" w:hRule="atLeast"/>
          <w:jc w:val="center"/>
        </w:trPr>
        <w:tc>
          <w:tcPr>
            <w:tcW w:w="921" w:type="dxa"/>
            <w:vAlign w:val="center"/>
          </w:tcPr>
          <w:p w14:paraId="7C404C5D">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559" w:type="dxa"/>
            <w:vAlign w:val="center"/>
          </w:tcPr>
          <w:p w14:paraId="49BE89BD">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付款方式</w:t>
            </w:r>
          </w:p>
        </w:tc>
        <w:tc>
          <w:tcPr>
            <w:tcW w:w="2184" w:type="dxa"/>
            <w:vAlign w:val="center"/>
          </w:tcPr>
          <w:p w14:paraId="2DB6FE8A">
            <w:pPr>
              <w:jc w:val="center"/>
              <w:rPr>
                <w:rFonts w:hint="eastAsia" w:ascii="新宋体" w:hAnsi="新宋体" w:eastAsia="新宋体" w:cs="新宋体"/>
                <w:color w:val="auto"/>
                <w:sz w:val="22"/>
                <w:szCs w:val="22"/>
                <w:highlight w:val="none"/>
              </w:rPr>
            </w:pPr>
          </w:p>
        </w:tc>
        <w:tc>
          <w:tcPr>
            <w:tcW w:w="2402" w:type="dxa"/>
            <w:vAlign w:val="center"/>
          </w:tcPr>
          <w:p w14:paraId="604FB6AB">
            <w:pPr>
              <w:jc w:val="center"/>
              <w:rPr>
                <w:rFonts w:hint="eastAsia" w:ascii="新宋体" w:hAnsi="新宋体" w:eastAsia="新宋体" w:cs="新宋体"/>
                <w:color w:val="auto"/>
                <w:sz w:val="22"/>
                <w:szCs w:val="22"/>
                <w:highlight w:val="none"/>
              </w:rPr>
            </w:pPr>
          </w:p>
        </w:tc>
        <w:tc>
          <w:tcPr>
            <w:tcW w:w="1200" w:type="dxa"/>
            <w:vAlign w:val="center"/>
          </w:tcPr>
          <w:p w14:paraId="6D1FA359">
            <w:pPr>
              <w:jc w:val="center"/>
              <w:rPr>
                <w:rFonts w:hint="eastAsia" w:ascii="新宋体" w:hAnsi="新宋体" w:eastAsia="新宋体" w:cs="新宋体"/>
                <w:color w:val="auto"/>
                <w:sz w:val="22"/>
                <w:szCs w:val="22"/>
                <w:highlight w:val="none"/>
              </w:rPr>
            </w:pPr>
          </w:p>
        </w:tc>
        <w:tc>
          <w:tcPr>
            <w:tcW w:w="1588" w:type="dxa"/>
            <w:vAlign w:val="center"/>
          </w:tcPr>
          <w:p w14:paraId="71CA7661">
            <w:pPr>
              <w:jc w:val="center"/>
              <w:rPr>
                <w:rFonts w:hint="eastAsia" w:ascii="新宋体" w:hAnsi="新宋体" w:eastAsia="新宋体" w:cs="新宋体"/>
                <w:color w:val="auto"/>
                <w:sz w:val="22"/>
                <w:szCs w:val="22"/>
                <w:highlight w:val="none"/>
              </w:rPr>
            </w:pPr>
          </w:p>
        </w:tc>
      </w:tr>
      <w:tr w14:paraId="22F3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14:paraId="639AC20A">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1559" w:type="dxa"/>
            <w:vAlign w:val="center"/>
          </w:tcPr>
          <w:p w14:paraId="4312EC59">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供货</w:t>
            </w:r>
            <w:r>
              <w:rPr>
                <w:rFonts w:hint="eastAsia" w:ascii="新宋体" w:hAnsi="新宋体" w:eastAsia="新宋体" w:cs="新宋体"/>
                <w:color w:val="auto"/>
                <w:sz w:val="22"/>
                <w:szCs w:val="22"/>
                <w:highlight w:val="none"/>
              </w:rPr>
              <w:t>时间</w:t>
            </w:r>
          </w:p>
        </w:tc>
        <w:tc>
          <w:tcPr>
            <w:tcW w:w="2184" w:type="dxa"/>
            <w:vAlign w:val="center"/>
          </w:tcPr>
          <w:p w14:paraId="4801EFB1">
            <w:pPr>
              <w:jc w:val="center"/>
              <w:rPr>
                <w:rFonts w:hint="eastAsia" w:ascii="新宋体" w:hAnsi="新宋体" w:eastAsia="新宋体" w:cs="新宋体"/>
                <w:color w:val="auto"/>
                <w:sz w:val="22"/>
                <w:szCs w:val="22"/>
                <w:highlight w:val="none"/>
              </w:rPr>
            </w:pPr>
          </w:p>
        </w:tc>
        <w:tc>
          <w:tcPr>
            <w:tcW w:w="2402" w:type="dxa"/>
            <w:vAlign w:val="center"/>
          </w:tcPr>
          <w:p w14:paraId="0D553F95">
            <w:pPr>
              <w:jc w:val="center"/>
              <w:rPr>
                <w:rFonts w:hint="eastAsia" w:ascii="新宋体" w:hAnsi="新宋体" w:eastAsia="新宋体" w:cs="新宋体"/>
                <w:color w:val="auto"/>
                <w:sz w:val="22"/>
                <w:szCs w:val="22"/>
                <w:highlight w:val="none"/>
              </w:rPr>
            </w:pPr>
          </w:p>
        </w:tc>
        <w:tc>
          <w:tcPr>
            <w:tcW w:w="1200" w:type="dxa"/>
            <w:vAlign w:val="center"/>
          </w:tcPr>
          <w:p w14:paraId="1A74E849">
            <w:pPr>
              <w:jc w:val="center"/>
              <w:rPr>
                <w:rFonts w:hint="eastAsia" w:ascii="新宋体" w:hAnsi="新宋体" w:eastAsia="新宋体" w:cs="新宋体"/>
                <w:color w:val="auto"/>
                <w:sz w:val="22"/>
                <w:szCs w:val="22"/>
                <w:highlight w:val="none"/>
              </w:rPr>
            </w:pPr>
          </w:p>
        </w:tc>
        <w:tc>
          <w:tcPr>
            <w:tcW w:w="1588" w:type="dxa"/>
            <w:vAlign w:val="center"/>
          </w:tcPr>
          <w:p w14:paraId="11FFF1FE">
            <w:pPr>
              <w:jc w:val="center"/>
              <w:rPr>
                <w:rFonts w:hint="eastAsia" w:ascii="新宋体" w:hAnsi="新宋体" w:eastAsia="新宋体" w:cs="新宋体"/>
                <w:color w:val="auto"/>
                <w:sz w:val="22"/>
                <w:szCs w:val="22"/>
                <w:highlight w:val="none"/>
              </w:rPr>
            </w:pPr>
          </w:p>
        </w:tc>
      </w:tr>
      <w:tr w14:paraId="38CC27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54" w:hRule="atLeast"/>
          <w:jc w:val="center"/>
        </w:trPr>
        <w:tc>
          <w:tcPr>
            <w:tcW w:w="921" w:type="dxa"/>
            <w:vAlign w:val="center"/>
          </w:tcPr>
          <w:p w14:paraId="6D423257">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1559" w:type="dxa"/>
            <w:vAlign w:val="center"/>
          </w:tcPr>
          <w:p w14:paraId="1F921FCE">
            <w:pPr>
              <w:jc w:val="center"/>
              <w:rPr>
                <w:rFonts w:hint="eastAsia" w:ascii="新宋体" w:hAnsi="新宋体" w:eastAsia="新宋体" w:cs="新宋体"/>
                <w:color w:val="auto"/>
                <w:sz w:val="22"/>
                <w:szCs w:val="22"/>
                <w:highlight w:val="none"/>
              </w:rPr>
            </w:pPr>
          </w:p>
        </w:tc>
        <w:tc>
          <w:tcPr>
            <w:tcW w:w="2184" w:type="dxa"/>
            <w:vAlign w:val="center"/>
          </w:tcPr>
          <w:p w14:paraId="43DAE067">
            <w:pPr>
              <w:jc w:val="center"/>
              <w:rPr>
                <w:rFonts w:hint="eastAsia" w:ascii="新宋体" w:hAnsi="新宋体" w:eastAsia="新宋体" w:cs="新宋体"/>
                <w:color w:val="auto"/>
                <w:sz w:val="22"/>
                <w:szCs w:val="22"/>
                <w:highlight w:val="none"/>
              </w:rPr>
            </w:pPr>
          </w:p>
        </w:tc>
        <w:tc>
          <w:tcPr>
            <w:tcW w:w="2402" w:type="dxa"/>
            <w:vAlign w:val="center"/>
          </w:tcPr>
          <w:p w14:paraId="3EDF9C98">
            <w:pPr>
              <w:jc w:val="center"/>
              <w:rPr>
                <w:rFonts w:hint="eastAsia" w:ascii="新宋体" w:hAnsi="新宋体" w:eastAsia="新宋体" w:cs="新宋体"/>
                <w:color w:val="auto"/>
                <w:sz w:val="22"/>
                <w:szCs w:val="22"/>
                <w:highlight w:val="none"/>
              </w:rPr>
            </w:pPr>
          </w:p>
        </w:tc>
        <w:tc>
          <w:tcPr>
            <w:tcW w:w="1200" w:type="dxa"/>
            <w:vAlign w:val="center"/>
          </w:tcPr>
          <w:p w14:paraId="23875082">
            <w:pPr>
              <w:jc w:val="center"/>
              <w:rPr>
                <w:rFonts w:hint="eastAsia" w:ascii="新宋体" w:hAnsi="新宋体" w:eastAsia="新宋体" w:cs="新宋体"/>
                <w:color w:val="auto"/>
                <w:sz w:val="22"/>
                <w:szCs w:val="22"/>
                <w:highlight w:val="none"/>
              </w:rPr>
            </w:pPr>
          </w:p>
        </w:tc>
        <w:tc>
          <w:tcPr>
            <w:tcW w:w="1588" w:type="dxa"/>
            <w:vAlign w:val="center"/>
          </w:tcPr>
          <w:p w14:paraId="1928442D">
            <w:pPr>
              <w:jc w:val="center"/>
              <w:rPr>
                <w:rFonts w:hint="eastAsia" w:ascii="新宋体" w:hAnsi="新宋体" w:eastAsia="新宋体" w:cs="新宋体"/>
                <w:color w:val="auto"/>
                <w:sz w:val="22"/>
                <w:szCs w:val="22"/>
                <w:highlight w:val="none"/>
              </w:rPr>
            </w:pPr>
          </w:p>
        </w:tc>
      </w:tr>
      <w:tr w14:paraId="40539A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14:paraId="0B18DE39">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1559" w:type="dxa"/>
            <w:vAlign w:val="center"/>
          </w:tcPr>
          <w:p w14:paraId="5411F3EB">
            <w:pPr>
              <w:jc w:val="center"/>
              <w:rPr>
                <w:rFonts w:hint="eastAsia" w:ascii="新宋体" w:hAnsi="新宋体" w:eastAsia="新宋体" w:cs="新宋体"/>
                <w:color w:val="auto"/>
                <w:sz w:val="22"/>
                <w:szCs w:val="22"/>
                <w:highlight w:val="none"/>
              </w:rPr>
            </w:pPr>
          </w:p>
        </w:tc>
        <w:tc>
          <w:tcPr>
            <w:tcW w:w="2184" w:type="dxa"/>
            <w:vAlign w:val="center"/>
          </w:tcPr>
          <w:p w14:paraId="4FC75596">
            <w:pPr>
              <w:jc w:val="center"/>
              <w:rPr>
                <w:rFonts w:hint="eastAsia" w:ascii="新宋体" w:hAnsi="新宋体" w:eastAsia="新宋体" w:cs="新宋体"/>
                <w:color w:val="auto"/>
                <w:sz w:val="22"/>
                <w:szCs w:val="22"/>
                <w:highlight w:val="none"/>
              </w:rPr>
            </w:pPr>
          </w:p>
        </w:tc>
        <w:tc>
          <w:tcPr>
            <w:tcW w:w="2402" w:type="dxa"/>
            <w:vAlign w:val="center"/>
          </w:tcPr>
          <w:p w14:paraId="2D2B45D1">
            <w:pPr>
              <w:jc w:val="center"/>
              <w:rPr>
                <w:rFonts w:hint="eastAsia" w:ascii="新宋体" w:hAnsi="新宋体" w:eastAsia="新宋体" w:cs="新宋体"/>
                <w:color w:val="auto"/>
                <w:sz w:val="22"/>
                <w:szCs w:val="22"/>
                <w:highlight w:val="none"/>
              </w:rPr>
            </w:pPr>
          </w:p>
        </w:tc>
        <w:tc>
          <w:tcPr>
            <w:tcW w:w="1200" w:type="dxa"/>
            <w:vAlign w:val="center"/>
          </w:tcPr>
          <w:p w14:paraId="70223319">
            <w:pPr>
              <w:jc w:val="center"/>
              <w:rPr>
                <w:rFonts w:hint="eastAsia" w:ascii="新宋体" w:hAnsi="新宋体" w:eastAsia="新宋体" w:cs="新宋体"/>
                <w:color w:val="auto"/>
                <w:sz w:val="22"/>
                <w:szCs w:val="22"/>
                <w:highlight w:val="none"/>
              </w:rPr>
            </w:pPr>
          </w:p>
        </w:tc>
        <w:tc>
          <w:tcPr>
            <w:tcW w:w="1588" w:type="dxa"/>
            <w:vAlign w:val="center"/>
          </w:tcPr>
          <w:p w14:paraId="6B0F2D8E">
            <w:pPr>
              <w:jc w:val="center"/>
              <w:rPr>
                <w:rFonts w:hint="eastAsia" w:ascii="新宋体" w:hAnsi="新宋体" w:eastAsia="新宋体" w:cs="新宋体"/>
                <w:color w:val="auto"/>
                <w:sz w:val="22"/>
                <w:szCs w:val="22"/>
                <w:highlight w:val="none"/>
              </w:rPr>
            </w:pPr>
          </w:p>
        </w:tc>
      </w:tr>
      <w:tr w14:paraId="4AB8C4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14:paraId="626C0137">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1559" w:type="dxa"/>
            <w:vAlign w:val="center"/>
          </w:tcPr>
          <w:p w14:paraId="647789DF">
            <w:pPr>
              <w:jc w:val="center"/>
              <w:rPr>
                <w:rFonts w:hint="eastAsia" w:ascii="新宋体" w:hAnsi="新宋体" w:eastAsia="新宋体" w:cs="新宋体"/>
                <w:color w:val="auto"/>
                <w:sz w:val="22"/>
                <w:szCs w:val="22"/>
                <w:highlight w:val="none"/>
              </w:rPr>
            </w:pPr>
          </w:p>
        </w:tc>
        <w:tc>
          <w:tcPr>
            <w:tcW w:w="2184" w:type="dxa"/>
            <w:vAlign w:val="center"/>
          </w:tcPr>
          <w:p w14:paraId="58F1299E">
            <w:pPr>
              <w:jc w:val="center"/>
              <w:rPr>
                <w:rFonts w:hint="eastAsia" w:ascii="新宋体" w:hAnsi="新宋体" w:eastAsia="新宋体" w:cs="新宋体"/>
                <w:color w:val="auto"/>
                <w:sz w:val="22"/>
                <w:szCs w:val="22"/>
                <w:highlight w:val="none"/>
              </w:rPr>
            </w:pPr>
          </w:p>
        </w:tc>
        <w:tc>
          <w:tcPr>
            <w:tcW w:w="2402" w:type="dxa"/>
            <w:vAlign w:val="center"/>
          </w:tcPr>
          <w:p w14:paraId="36D68B09">
            <w:pPr>
              <w:jc w:val="center"/>
              <w:rPr>
                <w:rFonts w:hint="eastAsia" w:ascii="新宋体" w:hAnsi="新宋体" w:eastAsia="新宋体" w:cs="新宋体"/>
                <w:color w:val="auto"/>
                <w:sz w:val="22"/>
                <w:szCs w:val="22"/>
                <w:highlight w:val="none"/>
              </w:rPr>
            </w:pPr>
          </w:p>
        </w:tc>
        <w:tc>
          <w:tcPr>
            <w:tcW w:w="1200" w:type="dxa"/>
            <w:vAlign w:val="center"/>
          </w:tcPr>
          <w:p w14:paraId="5FA09CAD">
            <w:pPr>
              <w:jc w:val="center"/>
              <w:rPr>
                <w:rFonts w:hint="eastAsia" w:ascii="新宋体" w:hAnsi="新宋体" w:eastAsia="新宋体" w:cs="新宋体"/>
                <w:color w:val="auto"/>
                <w:sz w:val="22"/>
                <w:szCs w:val="22"/>
                <w:highlight w:val="none"/>
              </w:rPr>
            </w:pPr>
          </w:p>
        </w:tc>
        <w:tc>
          <w:tcPr>
            <w:tcW w:w="1588" w:type="dxa"/>
            <w:vAlign w:val="center"/>
          </w:tcPr>
          <w:p w14:paraId="2FA792D5">
            <w:pPr>
              <w:jc w:val="center"/>
              <w:rPr>
                <w:rFonts w:hint="eastAsia" w:ascii="新宋体" w:hAnsi="新宋体" w:eastAsia="新宋体" w:cs="新宋体"/>
                <w:color w:val="auto"/>
                <w:sz w:val="22"/>
                <w:szCs w:val="22"/>
                <w:highlight w:val="none"/>
              </w:rPr>
            </w:pPr>
          </w:p>
        </w:tc>
      </w:tr>
      <w:tr w14:paraId="31FB7C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14:paraId="2D48FC28">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p>
        </w:tc>
        <w:tc>
          <w:tcPr>
            <w:tcW w:w="1559" w:type="dxa"/>
            <w:vAlign w:val="center"/>
          </w:tcPr>
          <w:p w14:paraId="63FE600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p>
        </w:tc>
        <w:tc>
          <w:tcPr>
            <w:tcW w:w="2184" w:type="dxa"/>
            <w:vAlign w:val="center"/>
          </w:tcPr>
          <w:p w14:paraId="30B6A9B0">
            <w:pPr>
              <w:jc w:val="center"/>
              <w:rPr>
                <w:rFonts w:hint="eastAsia" w:ascii="新宋体" w:hAnsi="新宋体" w:eastAsia="新宋体" w:cs="新宋体"/>
                <w:color w:val="auto"/>
                <w:sz w:val="22"/>
                <w:szCs w:val="22"/>
                <w:highlight w:val="none"/>
              </w:rPr>
            </w:pPr>
          </w:p>
        </w:tc>
        <w:tc>
          <w:tcPr>
            <w:tcW w:w="2402" w:type="dxa"/>
            <w:vAlign w:val="center"/>
          </w:tcPr>
          <w:p w14:paraId="6A9880CE">
            <w:pPr>
              <w:jc w:val="center"/>
              <w:rPr>
                <w:rFonts w:hint="eastAsia" w:ascii="新宋体" w:hAnsi="新宋体" w:eastAsia="新宋体" w:cs="新宋体"/>
                <w:color w:val="auto"/>
                <w:sz w:val="22"/>
                <w:szCs w:val="22"/>
                <w:highlight w:val="none"/>
              </w:rPr>
            </w:pPr>
          </w:p>
        </w:tc>
        <w:tc>
          <w:tcPr>
            <w:tcW w:w="1200" w:type="dxa"/>
            <w:vAlign w:val="center"/>
          </w:tcPr>
          <w:p w14:paraId="77923DB1">
            <w:pPr>
              <w:jc w:val="center"/>
              <w:rPr>
                <w:rFonts w:hint="eastAsia" w:ascii="新宋体" w:hAnsi="新宋体" w:eastAsia="新宋体" w:cs="新宋体"/>
                <w:color w:val="auto"/>
                <w:sz w:val="22"/>
                <w:szCs w:val="22"/>
                <w:highlight w:val="none"/>
              </w:rPr>
            </w:pPr>
          </w:p>
        </w:tc>
        <w:tc>
          <w:tcPr>
            <w:tcW w:w="1588" w:type="dxa"/>
            <w:vAlign w:val="center"/>
          </w:tcPr>
          <w:p w14:paraId="4055ADDB">
            <w:pPr>
              <w:jc w:val="center"/>
              <w:rPr>
                <w:rFonts w:hint="eastAsia" w:ascii="新宋体" w:hAnsi="新宋体" w:eastAsia="新宋体" w:cs="新宋体"/>
                <w:color w:val="auto"/>
                <w:sz w:val="22"/>
                <w:szCs w:val="22"/>
                <w:highlight w:val="none"/>
              </w:rPr>
            </w:pPr>
          </w:p>
        </w:tc>
      </w:tr>
    </w:tbl>
    <w:p w14:paraId="17E25C70">
      <w:pPr>
        <w:spacing w:line="500" w:lineRule="exact"/>
        <w:ind w:firstLine="4819" w:firstLineChars="2000"/>
        <w:rPr>
          <w:rFonts w:hint="eastAsia" w:ascii="新宋体" w:hAnsi="新宋体" w:eastAsia="新宋体" w:cs="新宋体"/>
          <w:b/>
          <w:bCs/>
          <w:color w:val="auto"/>
          <w:sz w:val="24"/>
          <w:highlight w:val="none"/>
        </w:rPr>
      </w:pPr>
    </w:p>
    <w:p w14:paraId="6200F68C">
      <w:pPr>
        <w:spacing w:line="400" w:lineRule="exact"/>
        <w:ind w:left="218" w:leftChars="104"/>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说明：</w:t>
      </w:r>
      <w:r>
        <w:rPr>
          <w:rFonts w:hint="eastAsia" w:ascii="新宋体" w:hAnsi="新宋体" w:eastAsia="新宋体"/>
          <w:b/>
          <w:bCs/>
          <w:color w:val="auto"/>
          <w:sz w:val="22"/>
          <w:szCs w:val="22"/>
          <w:highlight w:val="none"/>
        </w:rPr>
        <w:t>不填写此表视作完全响应采购文件要求</w:t>
      </w:r>
    </w:p>
    <w:p w14:paraId="59FF4C19">
      <w:pPr>
        <w:spacing w:line="500" w:lineRule="exact"/>
        <w:rPr>
          <w:rFonts w:hint="eastAsia" w:ascii="新宋体" w:hAnsi="新宋体" w:eastAsia="新宋体" w:cs="新宋体"/>
          <w:color w:val="auto"/>
          <w:sz w:val="22"/>
          <w:szCs w:val="22"/>
          <w:highlight w:val="none"/>
        </w:rPr>
      </w:pPr>
    </w:p>
    <w:p w14:paraId="321742DC">
      <w:pPr>
        <w:spacing w:line="500" w:lineRule="exact"/>
        <w:ind w:firstLine="4400" w:firstLineChars="2000"/>
        <w:rPr>
          <w:rFonts w:hint="eastAsia" w:ascii="新宋体" w:hAnsi="新宋体" w:eastAsia="新宋体" w:cs="新宋体"/>
          <w:color w:val="auto"/>
          <w:sz w:val="22"/>
          <w:szCs w:val="22"/>
          <w:highlight w:val="none"/>
        </w:rPr>
      </w:pPr>
    </w:p>
    <w:p w14:paraId="416CBB5A">
      <w:pPr>
        <w:spacing w:line="500" w:lineRule="exact"/>
        <w:ind w:firstLine="4400" w:firstLineChars="2000"/>
        <w:rPr>
          <w:rFonts w:hint="eastAsia" w:ascii="新宋体" w:hAnsi="新宋体" w:eastAsia="新宋体" w:cs="新宋体"/>
          <w:color w:val="auto"/>
          <w:sz w:val="22"/>
          <w:szCs w:val="22"/>
          <w:highlight w:val="none"/>
        </w:rPr>
      </w:pPr>
    </w:p>
    <w:p w14:paraId="035C45D7">
      <w:pPr>
        <w:spacing w:line="500" w:lineRule="exact"/>
        <w:ind w:firstLine="4400" w:firstLineChars="2000"/>
        <w:rPr>
          <w:rFonts w:hint="eastAsia" w:ascii="新宋体" w:hAnsi="新宋体" w:eastAsia="新宋体" w:cs="新宋体"/>
          <w:color w:val="auto"/>
          <w:sz w:val="22"/>
          <w:szCs w:val="22"/>
          <w:highlight w:val="none"/>
        </w:rPr>
      </w:pPr>
    </w:p>
    <w:p w14:paraId="05EFE9EE">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14:paraId="5FEDF200">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法定代表人或授权代表（签字或盖章）：</w:t>
      </w:r>
    </w:p>
    <w:p w14:paraId="4669E016">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66C69005">
      <w:pPr>
        <w:spacing w:line="460" w:lineRule="exact"/>
        <w:rPr>
          <w:rFonts w:hint="eastAsia" w:ascii="新宋体" w:hAnsi="新宋体" w:eastAsia="新宋体" w:cs="新宋体"/>
          <w:color w:val="auto"/>
          <w:sz w:val="22"/>
          <w:szCs w:val="22"/>
          <w:highlight w:val="none"/>
        </w:rPr>
      </w:pPr>
    </w:p>
    <w:p w14:paraId="6A8FFC76">
      <w:pPr>
        <w:tabs>
          <w:tab w:val="left" w:pos="840"/>
          <w:tab w:val="left" w:pos="5400"/>
        </w:tabs>
        <w:adjustRightInd w:val="0"/>
        <w:snapToGrid w:val="0"/>
        <w:spacing w:line="400" w:lineRule="exact"/>
        <w:ind w:left="420" w:leftChars="200" w:firstLine="4638" w:firstLineChars="2100"/>
        <w:rPr>
          <w:rFonts w:hint="eastAsia" w:ascii="新宋体" w:hAnsi="新宋体" w:eastAsia="新宋体" w:cs="新宋体"/>
          <w:b/>
          <w:bCs/>
          <w:color w:val="auto"/>
          <w:sz w:val="22"/>
          <w:szCs w:val="22"/>
          <w:highlight w:val="none"/>
        </w:rPr>
      </w:pPr>
    </w:p>
    <w:p w14:paraId="30D5233E">
      <w:pPr>
        <w:tabs>
          <w:tab w:val="left" w:pos="840"/>
        </w:tabs>
        <w:adjustRightInd w:val="0"/>
        <w:snapToGrid w:val="0"/>
        <w:spacing w:line="360" w:lineRule="auto"/>
        <w:ind w:left="18" w:hanging="18" w:hangingChars="8"/>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14:paraId="7BB5DC55">
      <w:pPr>
        <w:spacing w:line="460" w:lineRule="exact"/>
        <w:jc w:val="lef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附件四</w:t>
      </w:r>
    </w:p>
    <w:p w14:paraId="583C5060">
      <w:pPr>
        <w:spacing w:line="460" w:lineRule="exact"/>
        <w:jc w:val="center"/>
        <w:rPr>
          <w:rFonts w:hint="eastAsia" w:ascii="宋体" w:hAnsi="宋体" w:cs="宋体"/>
          <w:b/>
          <w:color w:val="auto"/>
          <w:kern w:val="1"/>
          <w:sz w:val="28"/>
          <w:szCs w:val="28"/>
          <w:highlight w:val="none"/>
        </w:rPr>
      </w:pPr>
      <w:r>
        <w:rPr>
          <w:rFonts w:hint="eastAsia" w:ascii="宋体" w:hAnsi="宋体" w:cs="宋体"/>
          <w:b/>
          <w:color w:val="auto"/>
          <w:kern w:val="1"/>
          <w:sz w:val="28"/>
          <w:szCs w:val="28"/>
          <w:highlight w:val="none"/>
        </w:rPr>
        <w:t>投标供应商同类项目业绩情况</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2"/>
        <w:gridCol w:w="1636"/>
        <w:gridCol w:w="1260"/>
        <w:gridCol w:w="1345"/>
        <w:gridCol w:w="2435"/>
      </w:tblGrid>
      <w:tr w14:paraId="1DA0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shd w:val="clear" w:color="auto" w:fill="D9D9D9"/>
            <w:vAlign w:val="center"/>
          </w:tcPr>
          <w:p w14:paraId="1CE45C87">
            <w:pPr>
              <w:spacing w:line="4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序号</w:t>
            </w:r>
          </w:p>
        </w:tc>
        <w:tc>
          <w:tcPr>
            <w:tcW w:w="2192" w:type="dxa"/>
            <w:shd w:val="clear" w:color="auto" w:fill="D9D9D9"/>
            <w:vAlign w:val="center"/>
          </w:tcPr>
          <w:p w14:paraId="7FBE5EDC">
            <w:pPr>
              <w:spacing w:line="4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用户名称</w:t>
            </w:r>
          </w:p>
        </w:tc>
        <w:tc>
          <w:tcPr>
            <w:tcW w:w="1636" w:type="dxa"/>
            <w:shd w:val="clear" w:color="auto" w:fill="D9D9D9"/>
            <w:vAlign w:val="center"/>
          </w:tcPr>
          <w:p w14:paraId="454A2A7D">
            <w:pPr>
              <w:spacing w:line="4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项目名称</w:t>
            </w:r>
          </w:p>
        </w:tc>
        <w:tc>
          <w:tcPr>
            <w:tcW w:w="1260" w:type="dxa"/>
            <w:shd w:val="clear" w:color="auto" w:fill="D9D9D9"/>
            <w:vAlign w:val="center"/>
          </w:tcPr>
          <w:p w14:paraId="494CCDF5">
            <w:pPr>
              <w:spacing w:line="4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合同金额</w:t>
            </w:r>
          </w:p>
        </w:tc>
        <w:tc>
          <w:tcPr>
            <w:tcW w:w="1345" w:type="dxa"/>
            <w:shd w:val="clear" w:color="auto" w:fill="D9D9D9"/>
            <w:vAlign w:val="center"/>
          </w:tcPr>
          <w:p w14:paraId="228613F6">
            <w:pPr>
              <w:spacing w:line="4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合同时间</w:t>
            </w:r>
          </w:p>
        </w:tc>
        <w:tc>
          <w:tcPr>
            <w:tcW w:w="2435" w:type="dxa"/>
            <w:shd w:val="clear" w:color="auto" w:fill="D9D9D9"/>
            <w:vAlign w:val="center"/>
          </w:tcPr>
          <w:p w14:paraId="0CB883AF">
            <w:pPr>
              <w:spacing w:line="4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用户联系人/联系方式</w:t>
            </w:r>
          </w:p>
        </w:tc>
      </w:tr>
      <w:tr w14:paraId="6E9A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14:paraId="34C27832">
            <w:pPr>
              <w:spacing w:line="460" w:lineRule="exact"/>
              <w:jc w:val="center"/>
              <w:rPr>
                <w:rFonts w:hint="eastAsia" w:ascii="宋体" w:hAnsi="宋体" w:cs="宋体"/>
                <w:b/>
                <w:bCs/>
                <w:color w:val="auto"/>
                <w:sz w:val="22"/>
                <w:highlight w:val="none"/>
              </w:rPr>
            </w:pPr>
          </w:p>
        </w:tc>
        <w:tc>
          <w:tcPr>
            <w:tcW w:w="2192" w:type="dxa"/>
            <w:vAlign w:val="center"/>
          </w:tcPr>
          <w:p w14:paraId="2389D2DC">
            <w:pPr>
              <w:spacing w:line="460" w:lineRule="exact"/>
              <w:jc w:val="center"/>
              <w:rPr>
                <w:rFonts w:hint="eastAsia" w:ascii="宋体" w:hAnsi="宋体" w:cs="宋体"/>
                <w:b/>
                <w:bCs/>
                <w:color w:val="auto"/>
                <w:sz w:val="22"/>
                <w:highlight w:val="none"/>
              </w:rPr>
            </w:pPr>
          </w:p>
        </w:tc>
        <w:tc>
          <w:tcPr>
            <w:tcW w:w="1636" w:type="dxa"/>
            <w:vAlign w:val="center"/>
          </w:tcPr>
          <w:p w14:paraId="796AFA57">
            <w:pPr>
              <w:spacing w:line="460" w:lineRule="exact"/>
              <w:jc w:val="center"/>
              <w:rPr>
                <w:rFonts w:hint="eastAsia" w:ascii="宋体" w:hAnsi="宋体" w:cs="宋体"/>
                <w:b/>
                <w:bCs/>
                <w:color w:val="auto"/>
                <w:sz w:val="22"/>
                <w:highlight w:val="none"/>
              </w:rPr>
            </w:pPr>
          </w:p>
        </w:tc>
        <w:tc>
          <w:tcPr>
            <w:tcW w:w="1260" w:type="dxa"/>
            <w:vAlign w:val="center"/>
          </w:tcPr>
          <w:p w14:paraId="1812D332">
            <w:pPr>
              <w:spacing w:line="460" w:lineRule="exact"/>
              <w:jc w:val="center"/>
              <w:rPr>
                <w:rFonts w:hint="eastAsia" w:ascii="宋体" w:hAnsi="宋体" w:cs="宋体"/>
                <w:b/>
                <w:bCs/>
                <w:color w:val="auto"/>
                <w:sz w:val="22"/>
                <w:highlight w:val="none"/>
              </w:rPr>
            </w:pPr>
          </w:p>
        </w:tc>
        <w:tc>
          <w:tcPr>
            <w:tcW w:w="1345" w:type="dxa"/>
            <w:vAlign w:val="center"/>
          </w:tcPr>
          <w:p w14:paraId="253CD4BF">
            <w:pPr>
              <w:spacing w:line="460" w:lineRule="exact"/>
              <w:jc w:val="center"/>
              <w:rPr>
                <w:rFonts w:hint="eastAsia" w:ascii="宋体" w:hAnsi="宋体" w:cs="宋体"/>
                <w:b/>
                <w:bCs/>
                <w:color w:val="auto"/>
                <w:sz w:val="22"/>
                <w:highlight w:val="none"/>
              </w:rPr>
            </w:pPr>
          </w:p>
        </w:tc>
        <w:tc>
          <w:tcPr>
            <w:tcW w:w="2435" w:type="dxa"/>
            <w:vAlign w:val="center"/>
          </w:tcPr>
          <w:p w14:paraId="29BA63FA">
            <w:pPr>
              <w:spacing w:line="460" w:lineRule="exact"/>
              <w:jc w:val="center"/>
              <w:rPr>
                <w:rFonts w:hint="eastAsia" w:ascii="宋体" w:hAnsi="宋体" w:cs="宋体"/>
                <w:b/>
                <w:bCs/>
                <w:color w:val="auto"/>
                <w:sz w:val="22"/>
                <w:highlight w:val="none"/>
              </w:rPr>
            </w:pPr>
          </w:p>
        </w:tc>
      </w:tr>
      <w:tr w14:paraId="097A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14:paraId="2D494C43">
            <w:pPr>
              <w:spacing w:line="460" w:lineRule="exact"/>
              <w:jc w:val="center"/>
              <w:rPr>
                <w:rFonts w:hint="eastAsia" w:ascii="宋体" w:hAnsi="宋体" w:cs="宋体"/>
                <w:b/>
                <w:bCs/>
                <w:color w:val="auto"/>
                <w:sz w:val="22"/>
                <w:highlight w:val="none"/>
              </w:rPr>
            </w:pPr>
          </w:p>
        </w:tc>
        <w:tc>
          <w:tcPr>
            <w:tcW w:w="2192" w:type="dxa"/>
            <w:vAlign w:val="center"/>
          </w:tcPr>
          <w:p w14:paraId="6FFF6966">
            <w:pPr>
              <w:spacing w:line="460" w:lineRule="exact"/>
              <w:jc w:val="center"/>
              <w:rPr>
                <w:rFonts w:hint="eastAsia" w:ascii="宋体" w:hAnsi="宋体" w:cs="宋体"/>
                <w:b/>
                <w:bCs/>
                <w:color w:val="auto"/>
                <w:sz w:val="22"/>
                <w:highlight w:val="none"/>
              </w:rPr>
            </w:pPr>
          </w:p>
        </w:tc>
        <w:tc>
          <w:tcPr>
            <w:tcW w:w="1636" w:type="dxa"/>
            <w:vAlign w:val="center"/>
          </w:tcPr>
          <w:p w14:paraId="347B5DB3">
            <w:pPr>
              <w:spacing w:line="460" w:lineRule="exact"/>
              <w:jc w:val="center"/>
              <w:rPr>
                <w:rFonts w:hint="eastAsia" w:ascii="宋体" w:hAnsi="宋体" w:cs="宋体"/>
                <w:b/>
                <w:bCs/>
                <w:color w:val="auto"/>
                <w:sz w:val="22"/>
                <w:highlight w:val="none"/>
              </w:rPr>
            </w:pPr>
          </w:p>
        </w:tc>
        <w:tc>
          <w:tcPr>
            <w:tcW w:w="1260" w:type="dxa"/>
            <w:vAlign w:val="center"/>
          </w:tcPr>
          <w:p w14:paraId="7BC66860">
            <w:pPr>
              <w:spacing w:line="460" w:lineRule="exact"/>
              <w:jc w:val="center"/>
              <w:rPr>
                <w:rFonts w:hint="eastAsia" w:ascii="宋体" w:hAnsi="宋体" w:cs="宋体"/>
                <w:b/>
                <w:bCs/>
                <w:color w:val="auto"/>
                <w:sz w:val="22"/>
                <w:highlight w:val="none"/>
              </w:rPr>
            </w:pPr>
          </w:p>
        </w:tc>
        <w:tc>
          <w:tcPr>
            <w:tcW w:w="1345" w:type="dxa"/>
            <w:vAlign w:val="center"/>
          </w:tcPr>
          <w:p w14:paraId="059F2E9A">
            <w:pPr>
              <w:spacing w:line="460" w:lineRule="exact"/>
              <w:jc w:val="center"/>
              <w:rPr>
                <w:rFonts w:hint="eastAsia" w:ascii="宋体" w:hAnsi="宋体" w:cs="宋体"/>
                <w:b/>
                <w:bCs/>
                <w:color w:val="auto"/>
                <w:sz w:val="22"/>
                <w:highlight w:val="none"/>
              </w:rPr>
            </w:pPr>
          </w:p>
        </w:tc>
        <w:tc>
          <w:tcPr>
            <w:tcW w:w="2435" w:type="dxa"/>
            <w:vAlign w:val="center"/>
          </w:tcPr>
          <w:p w14:paraId="46CB8A02">
            <w:pPr>
              <w:spacing w:line="460" w:lineRule="exact"/>
              <w:jc w:val="center"/>
              <w:rPr>
                <w:rFonts w:hint="eastAsia" w:ascii="宋体" w:hAnsi="宋体" w:cs="宋体"/>
                <w:b/>
                <w:bCs/>
                <w:color w:val="auto"/>
                <w:sz w:val="22"/>
                <w:highlight w:val="none"/>
              </w:rPr>
            </w:pPr>
          </w:p>
        </w:tc>
      </w:tr>
      <w:tr w14:paraId="515A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14:paraId="34FC404E">
            <w:pPr>
              <w:spacing w:line="460" w:lineRule="exact"/>
              <w:jc w:val="center"/>
              <w:rPr>
                <w:rFonts w:hint="eastAsia" w:ascii="宋体" w:hAnsi="宋体" w:cs="宋体"/>
                <w:b/>
                <w:bCs/>
                <w:color w:val="auto"/>
                <w:sz w:val="22"/>
                <w:highlight w:val="none"/>
              </w:rPr>
            </w:pPr>
          </w:p>
        </w:tc>
        <w:tc>
          <w:tcPr>
            <w:tcW w:w="2192" w:type="dxa"/>
            <w:vAlign w:val="center"/>
          </w:tcPr>
          <w:p w14:paraId="4C3BB0C6">
            <w:pPr>
              <w:spacing w:line="460" w:lineRule="exact"/>
              <w:jc w:val="center"/>
              <w:rPr>
                <w:rFonts w:hint="eastAsia" w:ascii="宋体" w:hAnsi="宋体" w:cs="宋体"/>
                <w:b/>
                <w:bCs/>
                <w:color w:val="auto"/>
                <w:sz w:val="22"/>
                <w:highlight w:val="none"/>
              </w:rPr>
            </w:pPr>
          </w:p>
        </w:tc>
        <w:tc>
          <w:tcPr>
            <w:tcW w:w="1636" w:type="dxa"/>
            <w:vAlign w:val="center"/>
          </w:tcPr>
          <w:p w14:paraId="28F97DDD">
            <w:pPr>
              <w:spacing w:line="460" w:lineRule="exact"/>
              <w:jc w:val="center"/>
              <w:rPr>
                <w:rFonts w:hint="eastAsia" w:ascii="宋体" w:hAnsi="宋体" w:cs="宋体"/>
                <w:b/>
                <w:bCs/>
                <w:color w:val="auto"/>
                <w:sz w:val="22"/>
                <w:highlight w:val="none"/>
              </w:rPr>
            </w:pPr>
          </w:p>
        </w:tc>
        <w:tc>
          <w:tcPr>
            <w:tcW w:w="1260" w:type="dxa"/>
            <w:vAlign w:val="center"/>
          </w:tcPr>
          <w:p w14:paraId="065E4A46">
            <w:pPr>
              <w:spacing w:line="460" w:lineRule="exact"/>
              <w:jc w:val="center"/>
              <w:rPr>
                <w:rFonts w:hint="eastAsia" w:ascii="宋体" w:hAnsi="宋体" w:cs="宋体"/>
                <w:b/>
                <w:bCs/>
                <w:color w:val="auto"/>
                <w:sz w:val="22"/>
                <w:highlight w:val="none"/>
              </w:rPr>
            </w:pPr>
          </w:p>
        </w:tc>
        <w:tc>
          <w:tcPr>
            <w:tcW w:w="1345" w:type="dxa"/>
            <w:vAlign w:val="center"/>
          </w:tcPr>
          <w:p w14:paraId="6A5421BD">
            <w:pPr>
              <w:spacing w:line="460" w:lineRule="exact"/>
              <w:jc w:val="center"/>
              <w:rPr>
                <w:rFonts w:hint="eastAsia" w:ascii="宋体" w:hAnsi="宋体" w:cs="宋体"/>
                <w:b/>
                <w:bCs/>
                <w:color w:val="auto"/>
                <w:sz w:val="22"/>
                <w:highlight w:val="none"/>
              </w:rPr>
            </w:pPr>
          </w:p>
        </w:tc>
        <w:tc>
          <w:tcPr>
            <w:tcW w:w="2435" w:type="dxa"/>
            <w:vAlign w:val="center"/>
          </w:tcPr>
          <w:p w14:paraId="389F4659">
            <w:pPr>
              <w:spacing w:line="460" w:lineRule="exact"/>
              <w:jc w:val="center"/>
              <w:rPr>
                <w:rFonts w:hint="eastAsia" w:ascii="宋体" w:hAnsi="宋体" w:cs="宋体"/>
                <w:b/>
                <w:bCs/>
                <w:color w:val="auto"/>
                <w:sz w:val="22"/>
                <w:highlight w:val="none"/>
              </w:rPr>
            </w:pPr>
          </w:p>
        </w:tc>
      </w:tr>
      <w:tr w14:paraId="665D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14:paraId="1AD4E248">
            <w:pPr>
              <w:spacing w:line="460" w:lineRule="exact"/>
              <w:jc w:val="center"/>
              <w:rPr>
                <w:rFonts w:hint="eastAsia" w:ascii="宋体" w:hAnsi="宋体" w:cs="宋体"/>
                <w:b/>
                <w:bCs/>
                <w:color w:val="auto"/>
                <w:sz w:val="22"/>
                <w:highlight w:val="none"/>
              </w:rPr>
            </w:pPr>
          </w:p>
        </w:tc>
        <w:tc>
          <w:tcPr>
            <w:tcW w:w="2192" w:type="dxa"/>
            <w:vAlign w:val="center"/>
          </w:tcPr>
          <w:p w14:paraId="73F9A92A">
            <w:pPr>
              <w:spacing w:line="460" w:lineRule="exact"/>
              <w:jc w:val="center"/>
              <w:rPr>
                <w:rFonts w:hint="eastAsia" w:ascii="宋体" w:hAnsi="宋体" w:cs="宋体"/>
                <w:b/>
                <w:bCs/>
                <w:color w:val="auto"/>
                <w:sz w:val="22"/>
                <w:highlight w:val="none"/>
              </w:rPr>
            </w:pPr>
          </w:p>
        </w:tc>
        <w:tc>
          <w:tcPr>
            <w:tcW w:w="1636" w:type="dxa"/>
            <w:vAlign w:val="center"/>
          </w:tcPr>
          <w:p w14:paraId="4BDB9543">
            <w:pPr>
              <w:spacing w:line="460" w:lineRule="exact"/>
              <w:jc w:val="center"/>
              <w:rPr>
                <w:rFonts w:hint="eastAsia" w:ascii="宋体" w:hAnsi="宋体" w:cs="宋体"/>
                <w:b/>
                <w:bCs/>
                <w:color w:val="auto"/>
                <w:sz w:val="22"/>
                <w:highlight w:val="none"/>
              </w:rPr>
            </w:pPr>
          </w:p>
        </w:tc>
        <w:tc>
          <w:tcPr>
            <w:tcW w:w="1260" w:type="dxa"/>
            <w:vAlign w:val="center"/>
          </w:tcPr>
          <w:p w14:paraId="41F9FF7C">
            <w:pPr>
              <w:spacing w:line="460" w:lineRule="exact"/>
              <w:jc w:val="center"/>
              <w:rPr>
                <w:rFonts w:hint="eastAsia" w:ascii="宋体" w:hAnsi="宋体" w:cs="宋体"/>
                <w:b/>
                <w:bCs/>
                <w:color w:val="auto"/>
                <w:sz w:val="22"/>
                <w:highlight w:val="none"/>
              </w:rPr>
            </w:pPr>
          </w:p>
        </w:tc>
        <w:tc>
          <w:tcPr>
            <w:tcW w:w="1345" w:type="dxa"/>
            <w:vAlign w:val="center"/>
          </w:tcPr>
          <w:p w14:paraId="2ECB1137">
            <w:pPr>
              <w:spacing w:line="460" w:lineRule="exact"/>
              <w:jc w:val="center"/>
              <w:rPr>
                <w:rFonts w:hint="eastAsia" w:ascii="宋体" w:hAnsi="宋体" w:cs="宋体"/>
                <w:b/>
                <w:bCs/>
                <w:color w:val="auto"/>
                <w:sz w:val="22"/>
                <w:highlight w:val="none"/>
              </w:rPr>
            </w:pPr>
          </w:p>
        </w:tc>
        <w:tc>
          <w:tcPr>
            <w:tcW w:w="2435" w:type="dxa"/>
            <w:vAlign w:val="center"/>
          </w:tcPr>
          <w:p w14:paraId="3F60244D">
            <w:pPr>
              <w:spacing w:line="460" w:lineRule="exact"/>
              <w:jc w:val="center"/>
              <w:rPr>
                <w:rFonts w:hint="eastAsia" w:ascii="宋体" w:hAnsi="宋体" w:cs="宋体"/>
                <w:b/>
                <w:bCs/>
                <w:color w:val="auto"/>
                <w:sz w:val="22"/>
                <w:highlight w:val="none"/>
              </w:rPr>
            </w:pPr>
          </w:p>
        </w:tc>
      </w:tr>
      <w:tr w14:paraId="112B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14:paraId="2A881B36">
            <w:pPr>
              <w:spacing w:line="460" w:lineRule="exact"/>
              <w:jc w:val="center"/>
              <w:rPr>
                <w:rFonts w:hint="eastAsia" w:ascii="宋体" w:hAnsi="宋体" w:cs="宋体"/>
                <w:b/>
                <w:bCs/>
                <w:color w:val="auto"/>
                <w:sz w:val="22"/>
                <w:highlight w:val="none"/>
              </w:rPr>
            </w:pPr>
          </w:p>
        </w:tc>
        <w:tc>
          <w:tcPr>
            <w:tcW w:w="2192" w:type="dxa"/>
            <w:vAlign w:val="center"/>
          </w:tcPr>
          <w:p w14:paraId="4288ABB4">
            <w:pPr>
              <w:spacing w:line="460" w:lineRule="exact"/>
              <w:jc w:val="center"/>
              <w:rPr>
                <w:rFonts w:hint="eastAsia" w:ascii="宋体" w:hAnsi="宋体" w:cs="宋体"/>
                <w:b/>
                <w:bCs/>
                <w:color w:val="auto"/>
                <w:sz w:val="22"/>
                <w:highlight w:val="none"/>
              </w:rPr>
            </w:pPr>
          </w:p>
        </w:tc>
        <w:tc>
          <w:tcPr>
            <w:tcW w:w="1636" w:type="dxa"/>
            <w:vAlign w:val="center"/>
          </w:tcPr>
          <w:p w14:paraId="102FDE01">
            <w:pPr>
              <w:spacing w:line="460" w:lineRule="exact"/>
              <w:jc w:val="center"/>
              <w:rPr>
                <w:rFonts w:hint="eastAsia" w:ascii="宋体" w:hAnsi="宋体" w:cs="宋体"/>
                <w:b/>
                <w:bCs/>
                <w:color w:val="auto"/>
                <w:sz w:val="22"/>
                <w:highlight w:val="none"/>
              </w:rPr>
            </w:pPr>
          </w:p>
        </w:tc>
        <w:tc>
          <w:tcPr>
            <w:tcW w:w="1260" w:type="dxa"/>
            <w:vAlign w:val="center"/>
          </w:tcPr>
          <w:p w14:paraId="17647607">
            <w:pPr>
              <w:spacing w:line="460" w:lineRule="exact"/>
              <w:jc w:val="center"/>
              <w:rPr>
                <w:rFonts w:hint="eastAsia" w:ascii="宋体" w:hAnsi="宋体" w:cs="宋体"/>
                <w:b/>
                <w:bCs/>
                <w:color w:val="auto"/>
                <w:sz w:val="22"/>
                <w:highlight w:val="none"/>
              </w:rPr>
            </w:pPr>
          </w:p>
        </w:tc>
        <w:tc>
          <w:tcPr>
            <w:tcW w:w="1345" w:type="dxa"/>
            <w:vAlign w:val="center"/>
          </w:tcPr>
          <w:p w14:paraId="04109DB9">
            <w:pPr>
              <w:spacing w:line="460" w:lineRule="exact"/>
              <w:jc w:val="center"/>
              <w:rPr>
                <w:rFonts w:hint="eastAsia" w:ascii="宋体" w:hAnsi="宋体" w:cs="宋体"/>
                <w:b/>
                <w:bCs/>
                <w:color w:val="auto"/>
                <w:sz w:val="22"/>
                <w:highlight w:val="none"/>
              </w:rPr>
            </w:pPr>
          </w:p>
        </w:tc>
        <w:tc>
          <w:tcPr>
            <w:tcW w:w="2435" w:type="dxa"/>
            <w:vAlign w:val="center"/>
          </w:tcPr>
          <w:p w14:paraId="0C7F7802">
            <w:pPr>
              <w:spacing w:line="460" w:lineRule="exact"/>
              <w:jc w:val="center"/>
              <w:rPr>
                <w:rFonts w:hint="eastAsia" w:ascii="宋体" w:hAnsi="宋体" w:cs="宋体"/>
                <w:b/>
                <w:bCs/>
                <w:color w:val="auto"/>
                <w:sz w:val="22"/>
                <w:highlight w:val="none"/>
              </w:rPr>
            </w:pPr>
          </w:p>
        </w:tc>
      </w:tr>
      <w:tr w14:paraId="63964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14:paraId="52E1F8E3">
            <w:pPr>
              <w:spacing w:line="460" w:lineRule="exact"/>
              <w:jc w:val="center"/>
              <w:rPr>
                <w:rFonts w:hint="eastAsia" w:ascii="宋体" w:hAnsi="宋体" w:cs="宋体"/>
                <w:b/>
                <w:bCs/>
                <w:color w:val="auto"/>
                <w:sz w:val="22"/>
                <w:highlight w:val="none"/>
              </w:rPr>
            </w:pPr>
          </w:p>
        </w:tc>
        <w:tc>
          <w:tcPr>
            <w:tcW w:w="2192" w:type="dxa"/>
            <w:vAlign w:val="center"/>
          </w:tcPr>
          <w:p w14:paraId="4215F64E">
            <w:pPr>
              <w:spacing w:line="460" w:lineRule="exact"/>
              <w:jc w:val="center"/>
              <w:rPr>
                <w:rFonts w:hint="eastAsia" w:ascii="宋体" w:hAnsi="宋体" w:cs="宋体"/>
                <w:b/>
                <w:bCs/>
                <w:color w:val="auto"/>
                <w:sz w:val="22"/>
                <w:highlight w:val="none"/>
              </w:rPr>
            </w:pPr>
          </w:p>
        </w:tc>
        <w:tc>
          <w:tcPr>
            <w:tcW w:w="1636" w:type="dxa"/>
            <w:vAlign w:val="center"/>
          </w:tcPr>
          <w:p w14:paraId="5F96E002">
            <w:pPr>
              <w:spacing w:line="460" w:lineRule="exact"/>
              <w:jc w:val="center"/>
              <w:rPr>
                <w:rFonts w:hint="eastAsia" w:ascii="宋体" w:hAnsi="宋体" w:cs="宋体"/>
                <w:b/>
                <w:bCs/>
                <w:color w:val="auto"/>
                <w:sz w:val="22"/>
                <w:highlight w:val="none"/>
              </w:rPr>
            </w:pPr>
          </w:p>
        </w:tc>
        <w:tc>
          <w:tcPr>
            <w:tcW w:w="1260" w:type="dxa"/>
            <w:vAlign w:val="center"/>
          </w:tcPr>
          <w:p w14:paraId="3A1C861E">
            <w:pPr>
              <w:spacing w:line="460" w:lineRule="exact"/>
              <w:jc w:val="center"/>
              <w:rPr>
                <w:rFonts w:hint="eastAsia" w:ascii="宋体" w:hAnsi="宋体" w:cs="宋体"/>
                <w:b/>
                <w:bCs/>
                <w:color w:val="auto"/>
                <w:sz w:val="22"/>
                <w:highlight w:val="none"/>
              </w:rPr>
            </w:pPr>
          </w:p>
        </w:tc>
        <w:tc>
          <w:tcPr>
            <w:tcW w:w="1345" w:type="dxa"/>
            <w:vAlign w:val="center"/>
          </w:tcPr>
          <w:p w14:paraId="7351FB1F">
            <w:pPr>
              <w:spacing w:line="460" w:lineRule="exact"/>
              <w:jc w:val="center"/>
              <w:rPr>
                <w:rFonts w:hint="eastAsia" w:ascii="宋体" w:hAnsi="宋体" w:cs="宋体"/>
                <w:b/>
                <w:bCs/>
                <w:color w:val="auto"/>
                <w:sz w:val="22"/>
                <w:highlight w:val="none"/>
              </w:rPr>
            </w:pPr>
          </w:p>
        </w:tc>
        <w:tc>
          <w:tcPr>
            <w:tcW w:w="2435" w:type="dxa"/>
            <w:vAlign w:val="center"/>
          </w:tcPr>
          <w:p w14:paraId="2B1BC661">
            <w:pPr>
              <w:spacing w:line="460" w:lineRule="exact"/>
              <w:jc w:val="center"/>
              <w:rPr>
                <w:rFonts w:hint="eastAsia" w:ascii="宋体" w:hAnsi="宋体" w:cs="宋体"/>
                <w:b/>
                <w:bCs/>
                <w:color w:val="auto"/>
                <w:sz w:val="22"/>
                <w:highlight w:val="none"/>
              </w:rPr>
            </w:pPr>
          </w:p>
        </w:tc>
      </w:tr>
      <w:tr w14:paraId="3305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14:paraId="16A055BC">
            <w:pPr>
              <w:spacing w:line="460" w:lineRule="exact"/>
              <w:jc w:val="center"/>
              <w:rPr>
                <w:rFonts w:hint="eastAsia" w:ascii="宋体" w:hAnsi="宋体" w:cs="宋体"/>
                <w:b/>
                <w:bCs/>
                <w:color w:val="auto"/>
                <w:sz w:val="22"/>
                <w:highlight w:val="none"/>
              </w:rPr>
            </w:pPr>
          </w:p>
        </w:tc>
        <w:tc>
          <w:tcPr>
            <w:tcW w:w="2192" w:type="dxa"/>
            <w:vAlign w:val="center"/>
          </w:tcPr>
          <w:p w14:paraId="2005DDB2">
            <w:pPr>
              <w:spacing w:line="460" w:lineRule="exact"/>
              <w:jc w:val="center"/>
              <w:rPr>
                <w:rFonts w:hint="eastAsia" w:ascii="宋体" w:hAnsi="宋体" w:cs="宋体"/>
                <w:b/>
                <w:bCs/>
                <w:color w:val="auto"/>
                <w:sz w:val="22"/>
                <w:highlight w:val="none"/>
              </w:rPr>
            </w:pPr>
          </w:p>
        </w:tc>
        <w:tc>
          <w:tcPr>
            <w:tcW w:w="1636" w:type="dxa"/>
            <w:vAlign w:val="center"/>
          </w:tcPr>
          <w:p w14:paraId="1C16CBAF">
            <w:pPr>
              <w:spacing w:line="460" w:lineRule="exact"/>
              <w:jc w:val="center"/>
              <w:rPr>
                <w:rFonts w:hint="eastAsia" w:ascii="宋体" w:hAnsi="宋体" w:cs="宋体"/>
                <w:b/>
                <w:bCs/>
                <w:color w:val="auto"/>
                <w:sz w:val="22"/>
                <w:highlight w:val="none"/>
              </w:rPr>
            </w:pPr>
          </w:p>
        </w:tc>
        <w:tc>
          <w:tcPr>
            <w:tcW w:w="1260" w:type="dxa"/>
            <w:vAlign w:val="center"/>
          </w:tcPr>
          <w:p w14:paraId="3190C022">
            <w:pPr>
              <w:spacing w:line="460" w:lineRule="exact"/>
              <w:jc w:val="center"/>
              <w:rPr>
                <w:rFonts w:hint="eastAsia" w:ascii="宋体" w:hAnsi="宋体" w:cs="宋体"/>
                <w:b/>
                <w:bCs/>
                <w:color w:val="auto"/>
                <w:sz w:val="22"/>
                <w:highlight w:val="none"/>
              </w:rPr>
            </w:pPr>
          </w:p>
        </w:tc>
        <w:tc>
          <w:tcPr>
            <w:tcW w:w="1345" w:type="dxa"/>
            <w:vAlign w:val="center"/>
          </w:tcPr>
          <w:p w14:paraId="19279DBD">
            <w:pPr>
              <w:spacing w:line="460" w:lineRule="exact"/>
              <w:jc w:val="center"/>
              <w:rPr>
                <w:rFonts w:hint="eastAsia" w:ascii="宋体" w:hAnsi="宋体" w:cs="宋体"/>
                <w:b/>
                <w:bCs/>
                <w:color w:val="auto"/>
                <w:sz w:val="22"/>
                <w:highlight w:val="none"/>
              </w:rPr>
            </w:pPr>
          </w:p>
        </w:tc>
        <w:tc>
          <w:tcPr>
            <w:tcW w:w="2435" w:type="dxa"/>
            <w:vAlign w:val="center"/>
          </w:tcPr>
          <w:p w14:paraId="1FDB16C8">
            <w:pPr>
              <w:spacing w:line="460" w:lineRule="exact"/>
              <w:jc w:val="center"/>
              <w:rPr>
                <w:rFonts w:hint="eastAsia" w:ascii="宋体" w:hAnsi="宋体" w:cs="宋体"/>
                <w:b/>
                <w:bCs/>
                <w:color w:val="auto"/>
                <w:sz w:val="22"/>
                <w:highlight w:val="none"/>
              </w:rPr>
            </w:pPr>
          </w:p>
        </w:tc>
      </w:tr>
      <w:tr w14:paraId="0E05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14:paraId="7D2B7733">
            <w:pPr>
              <w:spacing w:line="460" w:lineRule="exact"/>
              <w:jc w:val="center"/>
              <w:rPr>
                <w:rFonts w:hint="eastAsia" w:ascii="宋体" w:hAnsi="宋体" w:cs="宋体"/>
                <w:b/>
                <w:bCs/>
                <w:color w:val="auto"/>
                <w:sz w:val="22"/>
                <w:highlight w:val="none"/>
              </w:rPr>
            </w:pPr>
          </w:p>
        </w:tc>
        <w:tc>
          <w:tcPr>
            <w:tcW w:w="2192" w:type="dxa"/>
            <w:vAlign w:val="center"/>
          </w:tcPr>
          <w:p w14:paraId="0788D3F8">
            <w:pPr>
              <w:spacing w:line="460" w:lineRule="exact"/>
              <w:jc w:val="center"/>
              <w:rPr>
                <w:rFonts w:hint="eastAsia" w:ascii="宋体" w:hAnsi="宋体" w:cs="宋体"/>
                <w:b/>
                <w:bCs/>
                <w:color w:val="auto"/>
                <w:sz w:val="22"/>
                <w:highlight w:val="none"/>
              </w:rPr>
            </w:pPr>
          </w:p>
        </w:tc>
        <w:tc>
          <w:tcPr>
            <w:tcW w:w="1636" w:type="dxa"/>
            <w:vAlign w:val="center"/>
          </w:tcPr>
          <w:p w14:paraId="27388F10">
            <w:pPr>
              <w:spacing w:line="460" w:lineRule="exact"/>
              <w:jc w:val="center"/>
              <w:rPr>
                <w:rFonts w:hint="eastAsia" w:ascii="宋体" w:hAnsi="宋体" w:cs="宋体"/>
                <w:b/>
                <w:bCs/>
                <w:color w:val="auto"/>
                <w:sz w:val="22"/>
                <w:highlight w:val="none"/>
              </w:rPr>
            </w:pPr>
          </w:p>
        </w:tc>
        <w:tc>
          <w:tcPr>
            <w:tcW w:w="1260" w:type="dxa"/>
            <w:vAlign w:val="center"/>
          </w:tcPr>
          <w:p w14:paraId="3FD5149B">
            <w:pPr>
              <w:spacing w:line="460" w:lineRule="exact"/>
              <w:jc w:val="center"/>
              <w:rPr>
                <w:rFonts w:hint="eastAsia" w:ascii="宋体" w:hAnsi="宋体" w:cs="宋体"/>
                <w:b/>
                <w:bCs/>
                <w:color w:val="auto"/>
                <w:sz w:val="22"/>
                <w:highlight w:val="none"/>
              </w:rPr>
            </w:pPr>
          </w:p>
        </w:tc>
        <w:tc>
          <w:tcPr>
            <w:tcW w:w="1345" w:type="dxa"/>
            <w:vAlign w:val="center"/>
          </w:tcPr>
          <w:p w14:paraId="6C845632">
            <w:pPr>
              <w:spacing w:line="460" w:lineRule="exact"/>
              <w:jc w:val="center"/>
              <w:rPr>
                <w:rFonts w:hint="eastAsia" w:ascii="宋体" w:hAnsi="宋体" w:cs="宋体"/>
                <w:b/>
                <w:bCs/>
                <w:color w:val="auto"/>
                <w:sz w:val="22"/>
                <w:highlight w:val="none"/>
              </w:rPr>
            </w:pPr>
          </w:p>
        </w:tc>
        <w:tc>
          <w:tcPr>
            <w:tcW w:w="2435" w:type="dxa"/>
            <w:vAlign w:val="center"/>
          </w:tcPr>
          <w:p w14:paraId="2BEBBED7">
            <w:pPr>
              <w:spacing w:line="460" w:lineRule="exact"/>
              <w:jc w:val="center"/>
              <w:rPr>
                <w:rFonts w:hint="eastAsia" w:ascii="宋体" w:hAnsi="宋体" w:cs="宋体"/>
                <w:b/>
                <w:bCs/>
                <w:color w:val="auto"/>
                <w:sz w:val="22"/>
                <w:highlight w:val="none"/>
              </w:rPr>
            </w:pPr>
          </w:p>
        </w:tc>
      </w:tr>
      <w:tr w14:paraId="00D0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14:paraId="73327F11">
            <w:pPr>
              <w:spacing w:line="460" w:lineRule="exact"/>
              <w:jc w:val="center"/>
              <w:rPr>
                <w:rFonts w:hint="eastAsia" w:ascii="宋体" w:hAnsi="宋体" w:cs="宋体"/>
                <w:b/>
                <w:bCs/>
                <w:color w:val="auto"/>
                <w:sz w:val="22"/>
                <w:highlight w:val="none"/>
              </w:rPr>
            </w:pPr>
          </w:p>
        </w:tc>
        <w:tc>
          <w:tcPr>
            <w:tcW w:w="2192" w:type="dxa"/>
            <w:vAlign w:val="center"/>
          </w:tcPr>
          <w:p w14:paraId="7341B020">
            <w:pPr>
              <w:spacing w:line="460" w:lineRule="exact"/>
              <w:jc w:val="center"/>
              <w:rPr>
                <w:rFonts w:hint="eastAsia" w:ascii="宋体" w:hAnsi="宋体" w:cs="宋体"/>
                <w:b/>
                <w:bCs/>
                <w:color w:val="auto"/>
                <w:sz w:val="22"/>
                <w:highlight w:val="none"/>
              </w:rPr>
            </w:pPr>
          </w:p>
        </w:tc>
        <w:tc>
          <w:tcPr>
            <w:tcW w:w="1636" w:type="dxa"/>
            <w:vAlign w:val="center"/>
          </w:tcPr>
          <w:p w14:paraId="3A0EACB1">
            <w:pPr>
              <w:spacing w:line="460" w:lineRule="exact"/>
              <w:jc w:val="center"/>
              <w:rPr>
                <w:rFonts w:hint="eastAsia" w:ascii="宋体" w:hAnsi="宋体" w:cs="宋体"/>
                <w:b/>
                <w:bCs/>
                <w:color w:val="auto"/>
                <w:sz w:val="22"/>
                <w:highlight w:val="none"/>
              </w:rPr>
            </w:pPr>
          </w:p>
        </w:tc>
        <w:tc>
          <w:tcPr>
            <w:tcW w:w="1260" w:type="dxa"/>
            <w:vAlign w:val="center"/>
          </w:tcPr>
          <w:p w14:paraId="6003DFE2">
            <w:pPr>
              <w:spacing w:line="460" w:lineRule="exact"/>
              <w:jc w:val="center"/>
              <w:rPr>
                <w:rFonts w:hint="eastAsia" w:ascii="宋体" w:hAnsi="宋体" w:cs="宋体"/>
                <w:b/>
                <w:bCs/>
                <w:color w:val="auto"/>
                <w:sz w:val="22"/>
                <w:highlight w:val="none"/>
              </w:rPr>
            </w:pPr>
          </w:p>
        </w:tc>
        <w:tc>
          <w:tcPr>
            <w:tcW w:w="1345" w:type="dxa"/>
            <w:vAlign w:val="center"/>
          </w:tcPr>
          <w:p w14:paraId="0FB0DC49">
            <w:pPr>
              <w:spacing w:line="460" w:lineRule="exact"/>
              <w:jc w:val="center"/>
              <w:rPr>
                <w:rFonts w:hint="eastAsia" w:ascii="宋体" w:hAnsi="宋体" w:cs="宋体"/>
                <w:b/>
                <w:bCs/>
                <w:color w:val="auto"/>
                <w:sz w:val="22"/>
                <w:highlight w:val="none"/>
              </w:rPr>
            </w:pPr>
          </w:p>
        </w:tc>
        <w:tc>
          <w:tcPr>
            <w:tcW w:w="2435" w:type="dxa"/>
            <w:vAlign w:val="center"/>
          </w:tcPr>
          <w:p w14:paraId="0EFFA7AD">
            <w:pPr>
              <w:spacing w:line="460" w:lineRule="exact"/>
              <w:jc w:val="center"/>
              <w:rPr>
                <w:rFonts w:hint="eastAsia" w:ascii="宋体" w:hAnsi="宋体" w:cs="宋体"/>
                <w:b/>
                <w:bCs/>
                <w:color w:val="auto"/>
                <w:sz w:val="22"/>
                <w:highlight w:val="none"/>
              </w:rPr>
            </w:pPr>
          </w:p>
        </w:tc>
      </w:tr>
    </w:tbl>
    <w:p w14:paraId="52F7948A">
      <w:pPr>
        <w:spacing w:line="400" w:lineRule="exact"/>
        <w:rPr>
          <w:rFonts w:hint="eastAsia"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注：</w:t>
      </w:r>
    </w:p>
    <w:p w14:paraId="7F0A43A7">
      <w:pPr>
        <w:spacing w:line="400" w:lineRule="exact"/>
        <w:rPr>
          <w:rFonts w:hint="eastAsia"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1.此表仅提供了表格形式，投标供应商应根据需要准备足够数量的表格来填写。</w:t>
      </w:r>
    </w:p>
    <w:p w14:paraId="47D25AF3">
      <w:pPr>
        <w:spacing w:line="400" w:lineRule="exact"/>
        <w:rPr>
          <w:rFonts w:hint="eastAsia"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 xml:space="preserve">2.每项业绩须根据商务技术文件评分细则的要求提供证明材料； </w:t>
      </w:r>
    </w:p>
    <w:p w14:paraId="6BF7EABA">
      <w:pPr>
        <w:spacing w:line="400" w:lineRule="exact"/>
        <w:rPr>
          <w:rFonts w:hint="eastAsia" w:ascii="新宋体" w:hAnsi="新宋体" w:eastAsia="新宋体" w:cs="ˎ̥"/>
          <w:color w:val="auto"/>
          <w:sz w:val="22"/>
          <w:szCs w:val="22"/>
          <w:highlight w:val="none"/>
        </w:rPr>
      </w:pPr>
      <w:r>
        <w:rPr>
          <w:rFonts w:hint="eastAsia" w:ascii="新宋体" w:hAnsi="新宋体" w:eastAsia="新宋体" w:cs="ˎ̥"/>
          <w:color w:val="auto"/>
          <w:sz w:val="22"/>
          <w:szCs w:val="22"/>
          <w:highlight w:val="none"/>
        </w:rPr>
        <w:t>3.投标供应商不按此要求填写此项内容或未按要求提供业绩证明材料将视为无业绩，不纳入评分范围。</w:t>
      </w:r>
    </w:p>
    <w:p w14:paraId="20F4C23B">
      <w:pPr>
        <w:spacing w:line="400" w:lineRule="exact"/>
        <w:ind w:left="180"/>
        <w:rPr>
          <w:rFonts w:hint="eastAsia" w:ascii="新宋体" w:hAnsi="新宋体" w:eastAsia="新宋体"/>
          <w:b/>
          <w:color w:val="auto"/>
          <w:sz w:val="22"/>
          <w:szCs w:val="22"/>
          <w:highlight w:val="none"/>
        </w:rPr>
      </w:pPr>
    </w:p>
    <w:p w14:paraId="68CC1132">
      <w:pPr>
        <w:tabs>
          <w:tab w:val="left" w:pos="840"/>
          <w:tab w:val="left" w:pos="5400"/>
        </w:tabs>
        <w:adjustRightInd w:val="0"/>
        <w:snapToGrid w:val="0"/>
        <w:spacing w:line="400" w:lineRule="exact"/>
        <w:ind w:left="420" w:leftChars="200" w:firstLine="4620" w:firstLineChars="2100"/>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投标供应商全称（盖章）：</w:t>
      </w:r>
    </w:p>
    <w:p w14:paraId="77BC9B1B">
      <w:pPr>
        <w:tabs>
          <w:tab w:val="left" w:pos="840"/>
          <w:tab w:val="left" w:pos="5400"/>
        </w:tabs>
        <w:adjustRightInd w:val="0"/>
        <w:snapToGrid w:val="0"/>
        <w:spacing w:line="400" w:lineRule="exact"/>
        <w:ind w:left="420" w:leftChars="200" w:firstLine="4620" w:firstLineChars="2100"/>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法定代表人或授权代表（签字或盖章）：</w:t>
      </w:r>
    </w:p>
    <w:p w14:paraId="199742E3">
      <w:pPr>
        <w:tabs>
          <w:tab w:val="left" w:pos="840"/>
          <w:tab w:val="left" w:pos="5400"/>
        </w:tabs>
        <w:adjustRightInd w:val="0"/>
        <w:snapToGrid w:val="0"/>
        <w:spacing w:line="400" w:lineRule="exact"/>
        <w:ind w:left="420" w:leftChars="200" w:firstLine="4620" w:firstLineChars="2100"/>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rPr>
        <w:t>日          期：  年  月  日</w:t>
      </w:r>
    </w:p>
    <w:p w14:paraId="5AEDBD7A">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14:paraId="6D8AE84E">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14:paraId="04FEE343">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14:paraId="41613C9C">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14:paraId="4A5EFA26">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14:paraId="38AF569A">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14:paraId="399A20C5">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14:paraId="7A2F7F39">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14:paraId="68E802B3">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附件</w:t>
      </w:r>
      <w:r>
        <w:rPr>
          <w:rFonts w:hint="eastAsia" w:ascii="新宋体" w:hAnsi="新宋体" w:eastAsia="新宋体" w:cs="新宋体"/>
          <w:b/>
          <w:bCs/>
          <w:color w:val="auto"/>
          <w:sz w:val="22"/>
          <w:szCs w:val="22"/>
          <w:highlight w:val="none"/>
          <w:lang w:val="en-US" w:eastAsia="zh-CN"/>
        </w:rPr>
        <w:t>五</w:t>
      </w:r>
    </w:p>
    <w:p w14:paraId="3E1BD8D8">
      <w:pPr>
        <w:spacing w:line="460" w:lineRule="exact"/>
        <w:jc w:val="center"/>
        <w:rPr>
          <w:rStyle w:val="45"/>
          <w:rFonts w:ascii="新宋体" w:hAnsi="新宋体" w:eastAsia="新宋体"/>
          <w:b/>
          <w:bCs/>
          <w:color w:val="auto"/>
          <w:sz w:val="28"/>
          <w:szCs w:val="28"/>
          <w:highlight w:val="none"/>
        </w:rPr>
      </w:pPr>
      <w:r>
        <w:rPr>
          <w:rStyle w:val="45"/>
          <w:rFonts w:hint="eastAsia" w:ascii="新宋体" w:hAnsi="新宋体" w:eastAsia="新宋体"/>
          <w:b/>
          <w:bCs/>
          <w:color w:val="auto"/>
          <w:sz w:val="28"/>
          <w:szCs w:val="28"/>
          <w:highlight w:val="none"/>
        </w:rPr>
        <w:t>产品</w:t>
      </w:r>
      <w:r>
        <w:rPr>
          <w:rStyle w:val="45"/>
          <w:rFonts w:ascii="新宋体" w:hAnsi="新宋体" w:eastAsia="新宋体"/>
          <w:b/>
          <w:bCs/>
          <w:color w:val="auto"/>
          <w:sz w:val="28"/>
          <w:szCs w:val="28"/>
          <w:highlight w:val="none"/>
        </w:rPr>
        <w:t>供货范围详细清单</w:t>
      </w:r>
    </w:p>
    <w:p w14:paraId="7375639B">
      <w:pPr>
        <w:overflowPunct w:val="0"/>
        <w:spacing w:line="380" w:lineRule="exact"/>
        <w:rPr>
          <w:rStyle w:val="45"/>
          <w:rFonts w:ascii="新宋体" w:hAnsi="新宋体" w:eastAsia="新宋体"/>
          <w:b/>
          <w:bCs/>
          <w:color w:val="auto"/>
          <w:sz w:val="28"/>
          <w:szCs w:val="28"/>
          <w:highlight w:val="none"/>
        </w:rPr>
      </w:pPr>
      <w:r>
        <w:rPr>
          <w:rFonts w:hint="eastAsia" w:ascii="新宋体" w:hAnsi="新宋体" w:eastAsia="新宋体" w:cs="新宋体"/>
          <w:b/>
          <w:color w:val="auto"/>
          <w:sz w:val="22"/>
          <w:szCs w:val="22"/>
          <w:highlight w:val="none"/>
        </w:rPr>
        <w:t xml:space="preserve"> </w:t>
      </w:r>
      <w:r>
        <w:rPr>
          <w:rFonts w:hint="eastAsia" w:ascii="新宋体" w:hAnsi="新宋体" w:eastAsia="新宋体" w:cs="新宋体"/>
          <w:bCs/>
          <w:color w:val="auto"/>
          <w:sz w:val="22"/>
          <w:szCs w:val="22"/>
          <w:highlight w:val="none"/>
        </w:rPr>
        <w:t xml:space="preserve">项目名称：                                   </w:t>
      </w:r>
      <w:r>
        <w:rPr>
          <w:rFonts w:hint="eastAsia" w:ascii="新宋体" w:hAnsi="新宋体" w:eastAsia="新宋体" w:cs="新宋体"/>
          <w:bCs/>
          <w:color w:val="auto"/>
          <w:sz w:val="22"/>
          <w:szCs w:val="22"/>
          <w:highlight w:val="none"/>
          <w:lang w:val="en-US" w:eastAsia="zh-CN"/>
        </w:rPr>
        <w:t xml:space="preserve">                       </w:t>
      </w:r>
      <w:r>
        <w:rPr>
          <w:rFonts w:hint="eastAsia" w:ascii="新宋体" w:hAnsi="新宋体" w:eastAsia="新宋体" w:cs="新宋体"/>
          <w:bCs/>
          <w:color w:val="auto"/>
          <w:sz w:val="22"/>
          <w:szCs w:val="22"/>
          <w:highlight w:val="none"/>
        </w:rPr>
        <w:t xml:space="preserve">  </w:t>
      </w:r>
      <w:r>
        <w:rPr>
          <w:rFonts w:hint="eastAsia" w:ascii="新宋体" w:hAnsi="新宋体" w:eastAsia="新宋体" w:cs="新宋体"/>
          <w:bCs/>
          <w:color w:val="auto"/>
          <w:sz w:val="22"/>
          <w:szCs w:val="22"/>
          <w:highlight w:val="none"/>
          <w:lang w:eastAsia="zh-CN"/>
        </w:rPr>
        <w:t>项目编号</w:t>
      </w:r>
      <w:r>
        <w:rPr>
          <w:rFonts w:hint="eastAsia" w:ascii="新宋体" w:hAnsi="新宋体" w:eastAsia="新宋体" w:cs="新宋体"/>
          <w:bCs/>
          <w:color w:val="auto"/>
          <w:sz w:val="22"/>
          <w:szCs w:val="22"/>
          <w:highlight w:val="none"/>
        </w:rPr>
        <w:t>：</w:t>
      </w:r>
    </w:p>
    <w:tbl>
      <w:tblPr>
        <w:tblStyle w:val="26"/>
        <w:tblpPr w:leftFromText="180" w:rightFromText="180" w:vertAnchor="text" w:horzAnchor="page" w:tblpX="1166" w:tblpY="152"/>
        <w:tblOverlap w:val="never"/>
        <w:tblW w:w="504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28"/>
        <w:gridCol w:w="2041"/>
        <w:gridCol w:w="3893"/>
        <w:gridCol w:w="1216"/>
        <w:gridCol w:w="1473"/>
      </w:tblGrid>
      <w:tr w14:paraId="4FED2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tcBorders>
              <w:top w:val="single" w:color="000000" w:sz="12" w:space="0"/>
              <w:left w:val="single" w:color="000000" w:sz="12" w:space="0"/>
              <w:bottom w:val="single" w:color="000000" w:sz="12" w:space="0"/>
              <w:right w:val="single" w:color="000000" w:sz="4" w:space="0"/>
            </w:tcBorders>
            <w:noWrap w:val="0"/>
            <w:vAlign w:val="top"/>
          </w:tcPr>
          <w:p w14:paraId="33B8B48F">
            <w:pPr>
              <w:jc w:val="center"/>
              <w:rPr>
                <w:rStyle w:val="45"/>
                <w:rFonts w:ascii="新宋体" w:hAnsi="新宋体" w:eastAsia="新宋体"/>
                <w:b/>
                <w:bCs/>
                <w:color w:val="auto"/>
                <w:sz w:val="22"/>
                <w:szCs w:val="22"/>
                <w:highlight w:val="none"/>
              </w:rPr>
            </w:pPr>
            <w:r>
              <w:rPr>
                <w:rStyle w:val="45"/>
                <w:rFonts w:ascii="新宋体" w:hAnsi="新宋体" w:eastAsia="新宋体"/>
                <w:b/>
                <w:bCs/>
                <w:color w:val="auto"/>
                <w:sz w:val="22"/>
                <w:szCs w:val="22"/>
                <w:highlight w:val="none"/>
              </w:rPr>
              <w:t>序号</w:t>
            </w:r>
          </w:p>
        </w:tc>
        <w:tc>
          <w:tcPr>
            <w:tcW w:w="1046" w:type="pct"/>
            <w:tcBorders>
              <w:top w:val="single" w:color="000000" w:sz="12" w:space="0"/>
              <w:left w:val="single" w:color="000000" w:sz="4" w:space="0"/>
              <w:bottom w:val="single" w:color="000000" w:sz="12" w:space="0"/>
              <w:right w:val="single" w:color="000000" w:sz="4" w:space="0"/>
            </w:tcBorders>
            <w:noWrap w:val="0"/>
            <w:vAlign w:val="top"/>
          </w:tcPr>
          <w:p w14:paraId="0AC7ED2B">
            <w:pPr>
              <w:jc w:val="center"/>
              <w:rPr>
                <w:rStyle w:val="45"/>
                <w:rFonts w:ascii="新宋体" w:hAnsi="新宋体" w:eastAsia="新宋体"/>
                <w:b/>
                <w:bCs/>
                <w:color w:val="auto"/>
                <w:sz w:val="22"/>
                <w:szCs w:val="22"/>
                <w:highlight w:val="none"/>
              </w:rPr>
            </w:pPr>
            <w:r>
              <w:rPr>
                <w:rStyle w:val="45"/>
                <w:rFonts w:hint="eastAsia" w:ascii="新宋体" w:hAnsi="新宋体" w:eastAsia="新宋体"/>
                <w:b/>
                <w:bCs/>
                <w:color w:val="auto"/>
                <w:sz w:val="22"/>
                <w:szCs w:val="22"/>
                <w:highlight w:val="none"/>
              </w:rPr>
              <w:t>产品</w:t>
            </w:r>
            <w:r>
              <w:rPr>
                <w:rStyle w:val="45"/>
                <w:rFonts w:ascii="新宋体" w:hAnsi="新宋体" w:eastAsia="新宋体"/>
                <w:b/>
                <w:bCs/>
                <w:color w:val="auto"/>
                <w:sz w:val="22"/>
                <w:szCs w:val="22"/>
                <w:highlight w:val="none"/>
              </w:rPr>
              <w:t>名称</w:t>
            </w:r>
          </w:p>
        </w:tc>
        <w:tc>
          <w:tcPr>
            <w:tcW w:w="1995" w:type="pct"/>
            <w:tcBorders>
              <w:top w:val="single" w:color="000000" w:sz="12" w:space="0"/>
              <w:left w:val="single" w:color="000000" w:sz="4" w:space="0"/>
              <w:bottom w:val="single" w:color="000000" w:sz="12" w:space="0"/>
              <w:right w:val="single" w:color="000000" w:sz="4" w:space="0"/>
            </w:tcBorders>
            <w:noWrap w:val="0"/>
            <w:vAlign w:val="top"/>
          </w:tcPr>
          <w:p w14:paraId="441B5F84">
            <w:pPr>
              <w:jc w:val="center"/>
              <w:rPr>
                <w:rStyle w:val="45"/>
                <w:rFonts w:ascii="新宋体" w:hAnsi="新宋体" w:eastAsia="新宋体"/>
                <w:b/>
                <w:bCs/>
                <w:color w:val="auto"/>
                <w:sz w:val="22"/>
                <w:szCs w:val="22"/>
                <w:highlight w:val="none"/>
              </w:rPr>
            </w:pPr>
            <w:r>
              <w:rPr>
                <w:rStyle w:val="45"/>
                <w:rFonts w:hint="eastAsia" w:ascii="新宋体" w:hAnsi="新宋体" w:eastAsia="新宋体"/>
                <w:b/>
                <w:bCs/>
                <w:color w:val="auto"/>
                <w:sz w:val="22"/>
                <w:szCs w:val="22"/>
                <w:highlight w:val="none"/>
                <w:lang w:val="en-US" w:eastAsia="zh-CN"/>
              </w:rPr>
              <w:t>品牌、规格、材质</w:t>
            </w:r>
            <w:r>
              <w:rPr>
                <w:rStyle w:val="45"/>
                <w:rFonts w:ascii="新宋体" w:hAnsi="新宋体" w:eastAsia="新宋体"/>
                <w:b/>
                <w:bCs/>
                <w:color w:val="auto"/>
                <w:sz w:val="22"/>
                <w:szCs w:val="22"/>
                <w:highlight w:val="none"/>
              </w:rPr>
              <w:t>详细参数</w:t>
            </w:r>
          </w:p>
        </w:tc>
        <w:tc>
          <w:tcPr>
            <w:tcW w:w="623" w:type="pct"/>
            <w:tcBorders>
              <w:top w:val="single" w:color="000000" w:sz="12" w:space="0"/>
              <w:left w:val="single" w:color="000000" w:sz="4" w:space="0"/>
              <w:bottom w:val="single" w:color="000000" w:sz="12" w:space="0"/>
              <w:right w:val="single" w:color="000000" w:sz="4" w:space="0"/>
            </w:tcBorders>
            <w:noWrap w:val="0"/>
            <w:vAlign w:val="top"/>
          </w:tcPr>
          <w:p w14:paraId="030D5B51">
            <w:pPr>
              <w:jc w:val="center"/>
              <w:rPr>
                <w:rStyle w:val="45"/>
                <w:rFonts w:ascii="新宋体" w:hAnsi="新宋体" w:eastAsia="新宋体"/>
                <w:b/>
                <w:bCs/>
                <w:color w:val="auto"/>
                <w:sz w:val="22"/>
                <w:szCs w:val="22"/>
                <w:highlight w:val="none"/>
              </w:rPr>
            </w:pPr>
            <w:r>
              <w:rPr>
                <w:rStyle w:val="45"/>
                <w:rFonts w:ascii="新宋体" w:hAnsi="新宋体" w:eastAsia="新宋体"/>
                <w:b/>
                <w:bCs/>
                <w:color w:val="auto"/>
                <w:sz w:val="22"/>
                <w:szCs w:val="22"/>
                <w:highlight w:val="none"/>
              </w:rPr>
              <w:t>数量</w:t>
            </w:r>
          </w:p>
        </w:tc>
        <w:tc>
          <w:tcPr>
            <w:tcW w:w="755" w:type="pct"/>
            <w:tcBorders>
              <w:top w:val="single" w:color="000000" w:sz="12" w:space="0"/>
              <w:left w:val="single" w:color="000000" w:sz="4" w:space="0"/>
              <w:bottom w:val="single" w:color="000000" w:sz="12" w:space="0"/>
              <w:right w:val="single" w:color="000000" w:sz="12" w:space="0"/>
            </w:tcBorders>
            <w:noWrap w:val="0"/>
            <w:vAlign w:val="top"/>
          </w:tcPr>
          <w:p w14:paraId="362F1FDC">
            <w:pPr>
              <w:jc w:val="center"/>
              <w:rPr>
                <w:rStyle w:val="45"/>
                <w:rFonts w:ascii="新宋体" w:hAnsi="新宋体" w:eastAsia="新宋体"/>
                <w:b/>
                <w:bCs/>
                <w:color w:val="auto"/>
                <w:sz w:val="22"/>
                <w:szCs w:val="22"/>
                <w:highlight w:val="none"/>
              </w:rPr>
            </w:pPr>
            <w:r>
              <w:rPr>
                <w:rStyle w:val="45"/>
                <w:rFonts w:ascii="新宋体" w:hAnsi="新宋体" w:eastAsia="新宋体"/>
                <w:b/>
                <w:bCs/>
                <w:color w:val="auto"/>
                <w:sz w:val="22"/>
                <w:szCs w:val="22"/>
                <w:highlight w:val="none"/>
              </w:rPr>
              <w:t>备注</w:t>
            </w:r>
          </w:p>
        </w:tc>
      </w:tr>
      <w:tr w14:paraId="0E235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restart"/>
            <w:tcBorders>
              <w:top w:val="single" w:color="000000" w:sz="12" w:space="0"/>
              <w:left w:val="single" w:color="000000" w:sz="12" w:space="0"/>
              <w:bottom w:val="single" w:color="000000" w:sz="4" w:space="0"/>
              <w:right w:val="single" w:color="000000" w:sz="4" w:space="0"/>
            </w:tcBorders>
            <w:noWrap w:val="0"/>
            <w:vAlign w:val="top"/>
          </w:tcPr>
          <w:p w14:paraId="16E5416E">
            <w:pPr>
              <w:rPr>
                <w:rStyle w:val="45"/>
                <w:rFonts w:ascii="新宋体" w:hAnsi="新宋体" w:eastAsia="新宋体"/>
                <w:b/>
                <w:bCs/>
                <w:color w:val="auto"/>
                <w:sz w:val="22"/>
                <w:szCs w:val="22"/>
                <w:highlight w:val="none"/>
              </w:rPr>
            </w:pPr>
          </w:p>
        </w:tc>
        <w:tc>
          <w:tcPr>
            <w:tcW w:w="1046" w:type="pct"/>
            <w:vMerge w:val="restart"/>
            <w:tcBorders>
              <w:top w:val="single" w:color="000000" w:sz="12" w:space="0"/>
              <w:left w:val="single" w:color="000000" w:sz="4" w:space="0"/>
              <w:bottom w:val="single" w:color="000000" w:sz="4" w:space="0"/>
              <w:right w:val="single" w:color="000000" w:sz="4" w:space="0"/>
            </w:tcBorders>
            <w:noWrap w:val="0"/>
            <w:vAlign w:val="top"/>
          </w:tcPr>
          <w:p w14:paraId="586A0778">
            <w:pPr>
              <w:rPr>
                <w:rStyle w:val="45"/>
                <w:rFonts w:ascii="新宋体" w:hAnsi="新宋体" w:eastAsia="新宋体"/>
                <w:b/>
                <w:bCs/>
                <w:color w:val="auto"/>
                <w:sz w:val="22"/>
                <w:szCs w:val="22"/>
                <w:highlight w:val="none"/>
              </w:rPr>
            </w:pPr>
          </w:p>
        </w:tc>
        <w:tc>
          <w:tcPr>
            <w:tcW w:w="1995" w:type="pct"/>
            <w:tcBorders>
              <w:top w:val="single" w:color="000000" w:sz="12" w:space="0"/>
              <w:left w:val="single" w:color="000000" w:sz="4" w:space="0"/>
              <w:bottom w:val="single" w:color="000000" w:sz="4" w:space="0"/>
              <w:right w:val="single" w:color="000000" w:sz="4" w:space="0"/>
            </w:tcBorders>
            <w:noWrap w:val="0"/>
            <w:vAlign w:val="top"/>
          </w:tcPr>
          <w:p w14:paraId="44C24D53">
            <w:pPr>
              <w:rPr>
                <w:rStyle w:val="45"/>
                <w:rFonts w:ascii="新宋体" w:hAnsi="新宋体" w:eastAsia="新宋体"/>
                <w:b/>
                <w:bCs/>
                <w:color w:val="auto"/>
                <w:sz w:val="22"/>
                <w:szCs w:val="22"/>
                <w:highlight w:val="none"/>
              </w:rPr>
            </w:pPr>
          </w:p>
        </w:tc>
        <w:tc>
          <w:tcPr>
            <w:tcW w:w="623" w:type="pct"/>
            <w:tcBorders>
              <w:top w:val="single" w:color="000000" w:sz="12" w:space="0"/>
              <w:left w:val="single" w:color="000000" w:sz="4" w:space="0"/>
              <w:bottom w:val="single" w:color="000000" w:sz="4" w:space="0"/>
              <w:right w:val="single" w:color="000000" w:sz="4" w:space="0"/>
            </w:tcBorders>
            <w:noWrap w:val="0"/>
            <w:vAlign w:val="top"/>
          </w:tcPr>
          <w:p w14:paraId="3EB8224D">
            <w:pPr>
              <w:rPr>
                <w:rStyle w:val="45"/>
                <w:rFonts w:ascii="新宋体" w:hAnsi="新宋体" w:eastAsia="新宋体"/>
                <w:b/>
                <w:bCs/>
                <w:color w:val="auto"/>
                <w:sz w:val="22"/>
                <w:szCs w:val="22"/>
                <w:highlight w:val="none"/>
              </w:rPr>
            </w:pPr>
          </w:p>
        </w:tc>
        <w:tc>
          <w:tcPr>
            <w:tcW w:w="755" w:type="pct"/>
            <w:tcBorders>
              <w:top w:val="single" w:color="000000" w:sz="12" w:space="0"/>
              <w:left w:val="single" w:color="000000" w:sz="4" w:space="0"/>
              <w:bottom w:val="single" w:color="000000" w:sz="4" w:space="0"/>
              <w:right w:val="single" w:color="000000" w:sz="12" w:space="0"/>
            </w:tcBorders>
            <w:noWrap w:val="0"/>
            <w:vAlign w:val="top"/>
          </w:tcPr>
          <w:p w14:paraId="5401AB98">
            <w:pPr>
              <w:rPr>
                <w:rStyle w:val="45"/>
                <w:rFonts w:ascii="新宋体" w:hAnsi="新宋体" w:eastAsia="新宋体"/>
                <w:b/>
                <w:bCs/>
                <w:color w:val="auto"/>
                <w:sz w:val="22"/>
                <w:szCs w:val="22"/>
                <w:highlight w:val="none"/>
              </w:rPr>
            </w:pPr>
          </w:p>
        </w:tc>
      </w:tr>
      <w:tr w14:paraId="24626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continue"/>
            <w:tcBorders>
              <w:top w:val="single" w:color="000000" w:sz="4" w:space="0"/>
              <w:left w:val="single" w:color="000000" w:sz="12" w:space="0"/>
              <w:bottom w:val="single" w:color="000000" w:sz="4" w:space="0"/>
              <w:right w:val="single" w:color="000000" w:sz="4" w:space="0"/>
            </w:tcBorders>
            <w:noWrap w:val="0"/>
            <w:vAlign w:val="top"/>
          </w:tcPr>
          <w:p w14:paraId="65FAB43D">
            <w:pPr>
              <w:rPr>
                <w:rStyle w:val="45"/>
                <w:rFonts w:ascii="新宋体" w:hAnsi="新宋体" w:eastAsia="新宋体"/>
                <w:b/>
                <w:bCs/>
                <w:color w:val="auto"/>
                <w:sz w:val="22"/>
                <w:szCs w:val="22"/>
                <w:highlight w:val="none"/>
              </w:rPr>
            </w:pPr>
          </w:p>
        </w:tc>
        <w:tc>
          <w:tcPr>
            <w:tcW w:w="1046" w:type="pct"/>
            <w:vMerge w:val="continue"/>
            <w:tcBorders>
              <w:top w:val="single" w:color="000000" w:sz="4" w:space="0"/>
              <w:left w:val="single" w:color="000000" w:sz="4" w:space="0"/>
              <w:bottom w:val="single" w:color="000000" w:sz="4" w:space="0"/>
              <w:right w:val="single" w:color="000000" w:sz="4" w:space="0"/>
            </w:tcBorders>
            <w:noWrap w:val="0"/>
            <w:vAlign w:val="top"/>
          </w:tcPr>
          <w:p w14:paraId="70BAA09C">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513CE407">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6E4D0A1A">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108D6FBB">
            <w:pPr>
              <w:rPr>
                <w:rStyle w:val="45"/>
                <w:rFonts w:ascii="新宋体" w:hAnsi="新宋体" w:eastAsia="新宋体"/>
                <w:b/>
                <w:bCs/>
                <w:color w:val="auto"/>
                <w:sz w:val="22"/>
                <w:szCs w:val="22"/>
                <w:highlight w:val="none"/>
              </w:rPr>
            </w:pPr>
          </w:p>
        </w:tc>
      </w:tr>
      <w:tr w14:paraId="4131C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continue"/>
            <w:tcBorders>
              <w:top w:val="single" w:color="000000" w:sz="4" w:space="0"/>
              <w:left w:val="single" w:color="000000" w:sz="12" w:space="0"/>
              <w:bottom w:val="single" w:color="000000" w:sz="4" w:space="0"/>
              <w:right w:val="single" w:color="000000" w:sz="4" w:space="0"/>
            </w:tcBorders>
            <w:noWrap w:val="0"/>
            <w:vAlign w:val="top"/>
          </w:tcPr>
          <w:p w14:paraId="0EC0BC4F">
            <w:pPr>
              <w:rPr>
                <w:rStyle w:val="45"/>
                <w:rFonts w:ascii="新宋体" w:hAnsi="新宋体" w:eastAsia="新宋体"/>
                <w:b/>
                <w:bCs/>
                <w:color w:val="auto"/>
                <w:sz w:val="22"/>
                <w:szCs w:val="22"/>
                <w:highlight w:val="none"/>
              </w:rPr>
            </w:pPr>
          </w:p>
        </w:tc>
        <w:tc>
          <w:tcPr>
            <w:tcW w:w="1046" w:type="pct"/>
            <w:vMerge w:val="continue"/>
            <w:tcBorders>
              <w:top w:val="single" w:color="000000" w:sz="4" w:space="0"/>
              <w:left w:val="single" w:color="000000" w:sz="4" w:space="0"/>
              <w:bottom w:val="single" w:color="000000" w:sz="4" w:space="0"/>
              <w:right w:val="single" w:color="000000" w:sz="4" w:space="0"/>
            </w:tcBorders>
            <w:noWrap w:val="0"/>
            <w:vAlign w:val="top"/>
          </w:tcPr>
          <w:p w14:paraId="7591F582">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28D6363C">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5AE99CF4">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21C38BD7">
            <w:pPr>
              <w:rPr>
                <w:rStyle w:val="45"/>
                <w:rFonts w:ascii="新宋体" w:hAnsi="新宋体" w:eastAsia="新宋体"/>
                <w:b/>
                <w:bCs/>
                <w:color w:val="auto"/>
                <w:sz w:val="22"/>
                <w:szCs w:val="22"/>
                <w:highlight w:val="none"/>
              </w:rPr>
            </w:pPr>
          </w:p>
        </w:tc>
      </w:tr>
      <w:tr w14:paraId="02A2A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restart"/>
            <w:tcBorders>
              <w:top w:val="single" w:color="000000" w:sz="4" w:space="0"/>
              <w:left w:val="single" w:color="000000" w:sz="12" w:space="0"/>
              <w:bottom w:val="single" w:color="000000" w:sz="4" w:space="0"/>
              <w:right w:val="single" w:color="000000" w:sz="4" w:space="0"/>
            </w:tcBorders>
            <w:noWrap w:val="0"/>
            <w:vAlign w:val="top"/>
          </w:tcPr>
          <w:p w14:paraId="3A8C50D4">
            <w:pPr>
              <w:rPr>
                <w:rStyle w:val="45"/>
                <w:rFonts w:ascii="新宋体" w:hAnsi="新宋体" w:eastAsia="新宋体"/>
                <w:b/>
                <w:bCs/>
                <w:color w:val="auto"/>
                <w:sz w:val="22"/>
                <w:szCs w:val="22"/>
                <w:highlight w:val="none"/>
              </w:rPr>
            </w:pPr>
          </w:p>
        </w:tc>
        <w:tc>
          <w:tcPr>
            <w:tcW w:w="1046" w:type="pct"/>
            <w:vMerge w:val="restart"/>
            <w:tcBorders>
              <w:top w:val="single" w:color="000000" w:sz="4" w:space="0"/>
              <w:left w:val="single" w:color="000000" w:sz="4" w:space="0"/>
              <w:bottom w:val="single" w:color="000000" w:sz="4" w:space="0"/>
              <w:right w:val="single" w:color="000000" w:sz="4" w:space="0"/>
            </w:tcBorders>
            <w:noWrap w:val="0"/>
            <w:vAlign w:val="top"/>
          </w:tcPr>
          <w:p w14:paraId="310C7684">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27B9EBF2">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02A19E7E">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5CECA4A0">
            <w:pPr>
              <w:rPr>
                <w:rStyle w:val="45"/>
                <w:rFonts w:ascii="新宋体" w:hAnsi="新宋体" w:eastAsia="新宋体"/>
                <w:b/>
                <w:bCs/>
                <w:color w:val="auto"/>
                <w:sz w:val="22"/>
                <w:szCs w:val="22"/>
                <w:highlight w:val="none"/>
              </w:rPr>
            </w:pPr>
          </w:p>
        </w:tc>
      </w:tr>
      <w:tr w14:paraId="240499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continue"/>
            <w:tcBorders>
              <w:top w:val="single" w:color="000000" w:sz="4" w:space="0"/>
              <w:left w:val="single" w:color="000000" w:sz="12" w:space="0"/>
              <w:bottom w:val="single" w:color="000000" w:sz="4" w:space="0"/>
              <w:right w:val="single" w:color="000000" w:sz="4" w:space="0"/>
            </w:tcBorders>
            <w:noWrap w:val="0"/>
            <w:vAlign w:val="top"/>
          </w:tcPr>
          <w:p w14:paraId="03B0BA92">
            <w:pPr>
              <w:rPr>
                <w:rStyle w:val="45"/>
                <w:rFonts w:ascii="新宋体" w:hAnsi="新宋体" w:eastAsia="新宋体"/>
                <w:b/>
                <w:bCs/>
                <w:color w:val="auto"/>
                <w:sz w:val="22"/>
                <w:szCs w:val="22"/>
                <w:highlight w:val="none"/>
              </w:rPr>
            </w:pPr>
          </w:p>
        </w:tc>
        <w:tc>
          <w:tcPr>
            <w:tcW w:w="1046" w:type="pct"/>
            <w:vMerge w:val="continue"/>
            <w:tcBorders>
              <w:top w:val="single" w:color="000000" w:sz="4" w:space="0"/>
              <w:left w:val="single" w:color="000000" w:sz="4" w:space="0"/>
              <w:bottom w:val="single" w:color="000000" w:sz="4" w:space="0"/>
              <w:right w:val="single" w:color="000000" w:sz="4" w:space="0"/>
            </w:tcBorders>
            <w:noWrap w:val="0"/>
            <w:vAlign w:val="top"/>
          </w:tcPr>
          <w:p w14:paraId="7C498816">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49316D58">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020FF5B0">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4C4E00B6">
            <w:pPr>
              <w:rPr>
                <w:rStyle w:val="45"/>
                <w:rFonts w:ascii="新宋体" w:hAnsi="新宋体" w:eastAsia="新宋体"/>
                <w:b/>
                <w:bCs/>
                <w:color w:val="auto"/>
                <w:sz w:val="22"/>
                <w:szCs w:val="22"/>
                <w:highlight w:val="none"/>
              </w:rPr>
            </w:pPr>
          </w:p>
        </w:tc>
      </w:tr>
      <w:tr w14:paraId="79C23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continue"/>
            <w:tcBorders>
              <w:top w:val="single" w:color="000000" w:sz="4" w:space="0"/>
              <w:left w:val="single" w:color="000000" w:sz="12" w:space="0"/>
              <w:bottom w:val="single" w:color="000000" w:sz="4" w:space="0"/>
              <w:right w:val="single" w:color="000000" w:sz="4" w:space="0"/>
            </w:tcBorders>
            <w:noWrap w:val="0"/>
            <w:vAlign w:val="top"/>
          </w:tcPr>
          <w:p w14:paraId="44F7DC6F">
            <w:pPr>
              <w:rPr>
                <w:rStyle w:val="45"/>
                <w:rFonts w:ascii="新宋体" w:hAnsi="新宋体" w:eastAsia="新宋体"/>
                <w:b/>
                <w:bCs/>
                <w:color w:val="auto"/>
                <w:sz w:val="22"/>
                <w:szCs w:val="22"/>
                <w:highlight w:val="none"/>
              </w:rPr>
            </w:pPr>
          </w:p>
        </w:tc>
        <w:tc>
          <w:tcPr>
            <w:tcW w:w="1046" w:type="pct"/>
            <w:vMerge w:val="continue"/>
            <w:tcBorders>
              <w:top w:val="single" w:color="000000" w:sz="4" w:space="0"/>
              <w:left w:val="single" w:color="000000" w:sz="4" w:space="0"/>
              <w:bottom w:val="single" w:color="000000" w:sz="4" w:space="0"/>
              <w:right w:val="single" w:color="000000" w:sz="4" w:space="0"/>
            </w:tcBorders>
            <w:noWrap w:val="0"/>
            <w:vAlign w:val="top"/>
          </w:tcPr>
          <w:p w14:paraId="28D9E1DC">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64D47DEC">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71C987F8">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17946391">
            <w:pPr>
              <w:rPr>
                <w:rStyle w:val="45"/>
                <w:rFonts w:ascii="新宋体" w:hAnsi="新宋体" w:eastAsia="新宋体"/>
                <w:b/>
                <w:bCs/>
                <w:color w:val="auto"/>
                <w:sz w:val="22"/>
                <w:szCs w:val="22"/>
                <w:highlight w:val="none"/>
              </w:rPr>
            </w:pPr>
          </w:p>
        </w:tc>
      </w:tr>
      <w:tr w14:paraId="0A7F8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restart"/>
            <w:tcBorders>
              <w:top w:val="single" w:color="000000" w:sz="4" w:space="0"/>
              <w:left w:val="single" w:color="000000" w:sz="12" w:space="0"/>
              <w:bottom w:val="single" w:color="000000" w:sz="4" w:space="0"/>
              <w:right w:val="single" w:color="000000" w:sz="4" w:space="0"/>
            </w:tcBorders>
            <w:noWrap w:val="0"/>
            <w:vAlign w:val="top"/>
          </w:tcPr>
          <w:p w14:paraId="0694D010">
            <w:pPr>
              <w:rPr>
                <w:rStyle w:val="45"/>
                <w:rFonts w:ascii="新宋体" w:hAnsi="新宋体" w:eastAsia="新宋体"/>
                <w:b/>
                <w:bCs/>
                <w:color w:val="auto"/>
                <w:sz w:val="22"/>
                <w:szCs w:val="22"/>
                <w:highlight w:val="none"/>
              </w:rPr>
            </w:pPr>
          </w:p>
        </w:tc>
        <w:tc>
          <w:tcPr>
            <w:tcW w:w="1046" w:type="pct"/>
            <w:vMerge w:val="restart"/>
            <w:tcBorders>
              <w:top w:val="single" w:color="000000" w:sz="4" w:space="0"/>
              <w:left w:val="single" w:color="000000" w:sz="4" w:space="0"/>
              <w:bottom w:val="single" w:color="000000" w:sz="4" w:space="0"/>
              <w:right w:val="single" w:color="000000" w:sz="4" w:space="0"/>
            </w:tcBorders>
            <w:noWrap w:val="0"/>
            <w:vAlign w:val="top"/>
          </w:tcPr>
          <w:p w14:paraId="34703916">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7A5D0607">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0D44BB5F">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4445218C">
            <w:pPr>
              <w:rPr>
                <w:rStyle w:val="45"/>
                <w:rFonts w:ascii="新宋体" w:hAnsi="新宋体" w:eastAsia="新宋体"/>
                <w:b/>
                <w:bCs/>
                <w:color w:val="auto"/>
                <w:sz w:val="22"/>
                <w:szCs w:val="22"/>
                <w:highlight w:val="none"/>
              </w:rPr>
            </w:pPr>
          </w:p>
        </w:tc>
      </w:tr>
      <w:tr w14:paraId="396B8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continue"/>
            <w:tcBorders>
              <w:top w:val="single" w:color="000000" w:sz="4" w:space="0"/>
              <w:left w:val="single" w:color="000000" w:sz="12" w:space="0"/>
              <w:bottom w:val="single" w:color="000000" w:sz="4" w:space="0"/>
              <w:right w:val="single" w:color="000000" w:sz="4" w:space="0"/>
            </w:tcBorders>
            <w:noWrap w:val="0"/>
            <w:vAlign w:val="top"/>
          </w:tcPr>
          <w:p w14:paraId="31531A3B">
            <w:pPr>
              <w:rPr>
                <w:rStyle w:val="45"/>
                <w:rFonts w:ascii="新宋体" w:hAnsi="新宋体" w:eastAsia="新宋体"/>
                <w:b/>
                <w:bCs/>
                <w:color w:val="auto"/>
                <w:sz w:val="22"/>
                <w:szCs w:val="22"/>
                <w:highlight w:val="none"/>
              </w:rPr>
            </w:pPr>
          </w:p>
        </w:tc>
        <w:tc>
          <w:tcPr>
            <w:tcW w:w="1046" w:type="pct"/>
            <w:vMerge w:val="continue"/>
            <w:tcBorders>
              <w:top w:val="single" w:color="000000" w:sz="4" w:space="0"/>
              <w:left w:val="single" w:color="000000" w:sz="4" w:space="0"/>
              <w:bottom w:val="single" w:color="000000" w:sz="4" w:space="0"/>
              <w:right w:val="single" w:color="000000" w:sz="4" w:space="0"/>
            </w:tcBorders>
            <w:noWrap w:val="0"/>
            <w:vAlign w:val="top"/>
          </w:tcPr>
          <w:p w14:paraId="24938B5F">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6800589A">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2CDCF315">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4C625D27">
            <w:pPr>
              <w:rPr>
                <w:rStyle w:val="45"/>
                <w:rFonts w:ascii="新宋体" w:hAnsi="新宋体" w:eastAsia="新宋体"/>
                <w:b/>
                <w:bCs/>
                <w:color w:val="auto"/>
                <w:sz w:val="22"/>
                <w:szCs w:val="22"/>
                <w:highlight w:val="none"/>
              </w:rPr>
            </w:pPr>
          </w:p>
        </w:tc>
      </w:tr>
      <w:tr w14:paraId="3EEC0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continue"/>
            <w:tcBorders>
              <w:top w:val="single" w:color="000000" w:sz="4" w:space="0"/>
              <w:left w:val="single" w:color="000000" w:sz="12" w:space="0"/>
              <w:bottom w:val="single" w:color="000000" w:sz="4" w:space="0"/>
              <w:right w:val="single" w:color="000000" w:sz="4" w:space="0"/>
            </w:tcBorders>
            <w:noWrap w:val="0"/>
            <w:vAlign w:val="top"/>
          </w:tcPr>
          <w:p w14:paraId="0A9D64BF">
            <w:pPr>
              <w:rPr>
                <w:rStyle w:val="45"/>
                <w:rFonts w:ascii="新宋体" w:hAnsi="新宋体" w:eastAsia="新宋体"/>
                <w:b/>
                <w:bCs/>
                <w:color w:val="auto"/>
                <w:sz w:val="22"/>
                <w:szCs w:val="22"/>
                <w:highlight w:val="none"/>
              </w:rPr>
            </w:pPr>
          </w:p>
        </w:tc>
        <w:tc>
          <w:tcPr>
            <w:tcW w:w="1046" w:type="pct"/>
            <w:vMerge w:val="continue"/>
            <w:tcBorders>
              <w:top w:val="single" w:color="000000" w:sz="4" w:space="0"/>
              <w:left w:val="single" w:color="000000" w:sz="4" w:space="0"/>
              <w:bottom w:val="single" w:color="000000" w:sz="4" w:space="0"/>
              <w:right w:val="single" w:color="000000" w:sz="4" w:space="0"/>
            </w:tcBorders>
            <w:noWrap w:val="0"/>
            <w:vAlign w:val="top"/>
          </w:tcPr>
          <w:p w14:paraId="6ED540E3">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6E09754A">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478F1A48">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33B51A35">
            <w:pPr>
              <w:rPr>
                <w:rStyle w:val="45"/>
                <w:rFonts w:ascii="新宋体" w:hAnsi="新宋体" w:eastAsia="新宋体"/>
                <w:b/>
                <w:bCs/>
                <w:color w:val="auto"/>
                <w:sz w:val="22"/>
                <w:szCs w:val="22"/>
                <w:highlight w:val="none"/>
              </w:rPr>
            </w:pPr>
          </w:p>
        </w:tc>
      </w:tr>
      <w:tr w14:paraId="743F0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restart"/>
            <w:tcBorders>
              <w:top w:val="single" w:color="000000" w:sz="4" w:space="0"/>
              <w:left w:val="single" w:color="000000" w:sz="12" w:space="0"/>
              <w:bottom w:val="single" w:color="000000" w:sz="4" w:space="0"/>
              <w:right w:val="single" w:color="000000" w:sz="4" w:space="0"/>
            </w:tcBorders>
            <w:noWrap w:val="0"/>
            <w:vAlign w:val="top"/>
          </w:tcPr>
          <w:p w14:paraId="5E3D25A1">
            <w:pPr>
              <w:rPr>
                <w:rStyle w:val="45"/>
                <w:rFonts w:ascii="新宋体" w:hAnsi="新宋体" w:eastAsia="新宋体"/>
                <w:b/>
                <w:bCs/>
                <w:color w:val="auto"/>
                <w:sz w:val="22"/>
                <w:szCs w:val="22"/>
                <w:highlight w:val="none"/>
              </w:rPr>
            </w:pPr>
          </w:p>
        </w:tc>
        <w:tc>
          <w:tcPr>
            <w:tcW w:w="1046" w:type="pct"/>
            <w:vMerge w:val="restart"/>
            <w:tcBorders>
              <w:top w:val="single" w:color="000000" w:sz="4" w:space="0"/>
              <w:left w:val="single" w:color="000000" w:sz="4" w:space="0"/>
              <w:bottom w:val="single" w:color="000000" w:sz="4" w:space="0"/>
              <w:right w:val="single" w:color="000000" w:sz="4" w:space="0"/>
            </w:tcBorders>
            <w:noWrap w:val="0"/>
            <w:vAlign w:val="top"/>
          </w:tcPr>
          <w:p w14:paraId="4E311F3C">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6D50EA96">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66935A96">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3B6A36FF">
            <w:pPr>
              <w:rPr>
                <w:rStyle w:val="45"/>
                <w:rFonts w:ascii="新宋体" w:hAnsi="新宋体" w:eastAsia="新宋体"/>
                <w:b/>
                <w:bCs/>
                <w:color w:val="auto"/>
                <w:sz w:val="22"/>
                <w:szCs w:val="22"/>
                <w:highlight w:val="none"/>
              </w:rPr>
            </w:pPr>
          </w:p>
        </w:tc>
      </w:tr>
      <w:tr w14:paraId="67CA7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continue"/>
            <w:tcBorders>
              <w:top w:val="single" w:color="000000" w:sz="4" w:space="0"/>
              <w:left w:val="single" w:color="000000" w:sz="12" w:space="0"/>
              <w:bottom w:val="single" w:color="000000" w:sz="4" w:space="0"/>
              <w:right w:val="single" w:color="000000" w:sz="4" w:space="0"/>
            </w:tcBorders>
            <w:noWrap w:val="0"/>
            <w:vAlign w:val="top"/>
          </w:tcPr>
          <w:p w14:paraId="4C5387ED">
            <w:pPr>
              <w:rPr>
                <w:rStyle w:val="45"/>
                <w:rFonts w:ascii="新宋体" w:hAnsi="新宋体" w:eastAsia="新宋体"/>
                <w:b/>
                <w:bCs/>
                <w:color w:val="auto"/>
                <w:sz w:val="22"/>
                <w:szCs w:val="22"/>
                <w:highlight w:val="none"/>
              </w:rPr>
            </w:pPr>
          </w:p>
        </w:tc>
        <w:tc>
          <w:tcPr>
            <w:tcW w:w="1046" w:type="pct"/>
            <w:vMerge w:val="continue"/>
            <w:tcBorders>
              <w:top w:val="single" w:color="000000" w:sz="4" w:space="0"/>
              <w:left w:val="single" w:color="000000" w:sz="4" w:space="0"/>
              <w:bottom w:val="single" w:color="000000" w:sz="4" w:space="0"/>
              <w:right w:val="single" w:color="000000" w:sz="4" w:space="0"/>
            </w:tcBorders>
            <w:noWrap w:val="0"/>
            <w:vAlign w:val="top"/>
          </w:tcPr>
          <w:p w14:paraId="2A8B6E90">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09DF273C">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5999F93D">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63DC6F32">
            <w:pPr>
              <w:rPr>
                <w:rStyle w:val="45"/>
                <w:rFonts w:ascii="新宋体" w:hAnsi="新宋体" w:eastAsia="新宋体"/>
                <w:b/>
                <w:bCs/>
                <w:color w:val="auto"/>
                <w:sz w:val="22"/>
                <w:szCs w:val="22"/>
                <w:highlight w:val="none"/>
              </w:rPr>
            </w:pPr>
          </w:p>
        </w:tc>
      </w:tr>
      <w:tr w14:paraId="093C3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continue"/>
            <w:tcBorders>
              <w:top w:val="single" w:color="000000" w:sz="4" w:space="0"/>
              <w:left w:val="single" w:color="000000" w:sz="12" w:space="0"/>
              <w:bottom w:val="single" w:color="000000" w:sz="4" w:space="0"/>
              <w:right w:val="single" w:color="000000" w:sz="4" w:space="0"/>
            </w:tcBorders>
            <w:noWrap w:val="0"/>
            <w:vAlign w:val="top"/>
          </w:tcPr>
          <w:p w14:paraId="5465C0B9">
            <w:pPr>
              <w:rPr>
                <w:rStyle w:val="45"/>
                <w:rFonts w:ascii="新宋体" w:hAnsi="新宋体" w:eastAsia="新宋体"/>
                <w:b/>
                <w:bCs/>
                <w:color w:val="auto"/>
                <w:sz w:val="22"/>
                <w:szCs w:val="22"/>
                <w:highlight w:val="none"/>
              </w:rPr>
            </w:pPr>
          </w:p>
        </w:tc>
        <w:tc>
          <w:tcPr>
            <w:tcW w:w="1046" w:type="pct"/>
            <w:vMerge w:val="continue"/>
            <w:tcBorders>
              <w:top w:val="single" w:color="000000" w:sz="4" w:space="0"/>
              <w:left w:val="single" w:color="000000" w:sz="4" w:space="0"/>
              <w:bottom w:val="single" w:color="000000" w:sz="4" w:space="0"/>
              <w:right w:val="single" w:color="000000" w:sz="4" w:space="0"/>
            </w:tcBorders>
            <w:noWrap w:val="0"/>
            <w:vAlign w:val="top"/>
          </w:tcPr>
          <w:p w14:paraId="371A9483">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707BEB7E">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26DF249D">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189AD3CD">
            <w:pPr>
              <w:rPr>
                <w:rStyle w:val="45"/>
                <w:rFonts w:ascii="新宋体" w:hAnsi="新宋体" w:eastAsia="新宋体"/>
                <w:b/>
                <w:bCs/>
                <w:color w:val="auto"/>
                <w:sz w:val="22"/>
                <w:szCs w:val="22"/>
                <w:highlight w:val="none"/>
              </w:rPr>
            </w:pPr>
          </w:p>
        </w:tc>
      </w:tr>
      <w:tr w14:paraId="659E0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restart"/>
            <w:tcBorders>
              <w:top w:val="single" w:color="000000" w:sz="4" w:space="0"/>
              <w:left w:val="single" w:color="000000" w:sz="12" w:space="0"/>
              <w:bottom w:val="single" w:color="000000" w:sz="4" w:space="0"/>
              <w:right w:val="single" w:color="000000" w:sz="4" w:space="0"/>
            </w:tcBorders>
            <w:noWrap w:val="0"/>
            <w:vAlign w:val="top"/>
          </w:tcPr>
          <w:p w14:paraId="2B8BF665">
            <w:pPr>
              <w:rPr>
                <w:rStyle w:val="45"/>
                <w:rFonts w:ascii="新宋体" w:hAnsi="新宋体" w:eastAsia="新宋体"/>
                <w:b/>
                <w:bCs/>
                <w:color w:val="auto"/>
                <w:sz w:val="22"/>
                <w:szCs w:val="22"/>
                <w:highlight w:val="none"/>
              </w:rPr>
            </w:pPr>
          </w:p>
        </w:tc>
        <w:tc>
          <w:tcPr>
            <w:tcW w:w="1046" w:type="pct"/>
            <w:vMerge w:val="restart"/>
            <w:tcBorders>
              <w:top w:val="single" w:color="000000" w:sz="4" w:space="0"/>
              <w:left w:val="single" w:color="000000" w:sz="4" w:space="0"/>
              <w:bottom w:val="single" w:color="000000" w:sz="4" w:space="0"/>
              <w:right w:val="single" w:color="000000" w:sz="4" w:space="0"/>
            </w:tcBorders>
            <w:noWrap w:val="0"/>
            <w:vAlign w:val="top"/>
          </w:tcPr>
          <w:p w14:paraId="76E2BB37">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4B62418A">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03B72925">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641F0753">
            <w:pPr>
              <w:rPr>
                <w:rStyle w:val="45"/>
                <w:rFonts w:ascii="新宋体" w:hAnsi="新宋体" w:eastAsia="新宋体"/>
                <w:b/>
                <w:bCs/>
                <w:color w:val="auto"/>
                <w:sz w:val="22"/>
                <w:szCs w:val="22"/>
                <w:highlight w:val="none"/>
              </w:rPr>
            </w:pPr>
          </w:p>
        </w:tc>
      </w:tr>
      <w:tr w14:paraId="18272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continue"/>
            <w:tcBorders>
              <w:top w:val="single" w:color="000000" w:sz="4" w:space="0"/>
              <w:left w:val="single" w:color="000000" w:sz="12" w:space="0"/>
              <w:bottom w:val="single" w:color="000000" w:sz="4" w:space="0"/>
              <w:right w:val="single" w:color="000000" w:sz="4" w:space="0"/>
            </w:tcBorders>
            <w:noWrap w:val="0"/>
            <w:vAlign w:val="top"/>
          </w:tcPr>
          <w:p w14:paraId="080DDD97">
            <w:pPr>
              <w:rPr>
                <w:rStyle w:val="45"/>
                <w:rFonts w:ascii="新宋体" w:hAnsi="新宋体" w:eastAsia="新宋体"/>
                <w:b/>
                <w:bCs/>
                <w:color w:val="auto"/>
                <w:sz w:val="22"/>
                <w:szCs w:val="22"/>
                <w:highlight w:val="none"/>
              </w:rPr>
            </w:pPr>
          </w:p>
        </w:tc>
        <w:tc>
          <w:tcPr>
            <w:tcW w:w="1046" w:type="pct"/>
            <w:vMerge w:val="continue"/>
            <w:tcBorders>
              <w:top w:val="single" w:color="000000" w:sz="4" w:space="0"/>
              <w:left w:val="single" w:color="000000" w:sz="4" w:space="0"/>
              <w:bottom w:val="single" w:color="000000" w:sz="4" w:space="0"/>
              <w:right w:val="single" w:color="000000" w:sz="4" w:space="0"/>
            </w:tcBorders>
            <w:noWrap w:val="0"/>
            <w:vAlign w:val="top"/>
          </w:tcPr>
          <w:p w14:paraId="43FB79BC">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3AFE6383">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289758CF">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1F799404">
            <w:pPr>
              <w:rPr>
                <w:rStyle w:val="45"/>
                <w:rFonts w:ascii="新宋体" w:hAnsi="新宋体" w:eastAsia="新宋体"/>
                <w:b/>
                <w:bCs/>
                <w:color w:val="auto"/>
                <w:sz w:val="22"/>
                <w:szCs w:val="22"/>
                <w:highlight w:val="none"/>
              </w:rPr>
            </w:pPr>
          </w:p>
        </w:tc>
      </w:tr>
      <w:tr w14:paraId="6301B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continue"/>
            <w:tcBorders>
              <w:top w:val="single" w:color="000000" w:sz="4" w:space="0"/>
              <w:left w:val="single" w:color="000000" w:sz="12" w:space="0"/>
              <w:bottom w:val="single" w:color="000000" w:sz="4" w:space="0"/>
              <w:right w:val="single" w:color="000000" w:sz="4" w:space="0"/>
            </w:tcBorders>
            <w:noWrap w:val="0"/>
            <w:vAlign w:val="top"/>
          </w:tcPr>
          <w:p w14:paraId="00F749FF">
            <w:pPr>
              <w:rPr>
                <w:rStyle w:val="45"/>
                <w:rFonts w:ascii="新宋体" w:hAnsi="新宋体" w:eastAsia="新宋体"/>
                <w:b/>
                <w:bCs/>
                <w:color w:val="auto"/>
                <w:sz w:val="22"/>
                <w:szCs w:val="22"/>
                <w:highlight w:val="none"/>
              </w:rPr>
            </w:pPr>
          </w:p>
        </w:tc>
        <w:tc>
          <w:tcPr>
            <w:tcW w:w="1046" w:type="pct"/>
            <w:vMerge w:val="continue"/>
            <w:tcBorders>
              <w:top w:val="single" w:color="000000" w:sz="4" w:space="0"/>
              <w:left w:val="single" w:color="000000" w:sz="4" w:space="0"/>
              <w:bottom w:val="single" w:color="000000" w:sz="4" w:space="0"/>
              <w:right w:val="single" w:color="000000" w:sz="4" w:space="0"/>
            </w:tcBorders>
            <w:noWrap w:val="0"/>
            <w:vAlign w:val="top"/>
          </w:tcPr>
          <w:p w14:paraId="13C4FB5C">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0FB2BDCE">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019CBAD1">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72CC3A52">
            <w:pPr>
              <w:rPr>
                <w:rStyle w:val="45"/>
                <w:rFonts w:ascii="新宋体" w:hAnsi="新宋体" w:eastAsia="新宋体"/>
                <w:b/>
                <w:bCs/>
                <w:color w:val="auto"/>
                <w:sz w:val="22"/>
                <w:szCs w:val="22"/>
                <w:highlight w:val="none"/>
              </w:rPr>
            </w:pPr>
          </w:p>
        </w:tc>
      </w:tr>
      <w:tr w14:paraId="244CA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restart"/>
            <w:tcBorders>
              <w:top w:val="single" w:color="000000" w:sz="4" w:space="0"/>
              <w:left w:val="single" w:color="000000" w:sz="12" w:space="0"/>
              <w:bottom w:val="single" w:color="000000" w:sz="4" w:space="0"/>
              <w:right w:val="single" w:color="000000" w:sz="4" w:space="0"/>
            </w:tcBorders>
            <w:noWrap w:val="0"/>
            <w:vAlign w:val="top"/>
          </w:tcPr>
          <w:p w14:paraId="54C3EE65">
            <w:pPr>
              <w:rPr>
                <w:rStyle w:val="45"/>
                <w:rFonts w:ascii="新宋体" w:hAnsi="新宋体" w:eastAsia="新宋体"/>
                <w:b/>
                <w:bCs/>
                <w:color w:val="auto"/>
                <w:sz w:val="22"/>
                <w:szCs w:val="22"/>
                <w:highlight w:val="none"/>
              </w:rPr>
            </w:pPr>
          </w:p>
        </w:tc>
        <w:tc>
          <w:tcPr>
            <w:tcW w:w="1046" w:type="pct"/>
            <w:vMerge w:val="restart"/>
            <w:tcBorders>
              <w:top w:val="single" w:color="000000" w:sz="4" w:space="0"/>
              <w:left w:val="single" w:color="000000" w:sz="4" w:space="0"/>
              <w:bottom w:val="single" w:color="000000" w:sz="4" w:space="0"/>
              <w:right w:val="single" w:color="000000" w:sz="4" w:space="0"/>
            </w:tcBorders>
            <w:noWrap w:val="0"/>
            <w:vAlign w:val="top"/>
          </w:tcPr>
          <w:p w14:paraId="0F2F5C63">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0A563181">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0C99FF61">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583B67D8">
            <w:pPr>
              <w:rPr>
                <w:rStyle w:val="45"/>
                <w:rFonts w:ascii="新宋体" w:hAnsi="新宋体" w:eastAsia="新宋体"/>
                <w:b/>
                <w:bCs/>
                <w:color w:val="auto"/>
                <w:sz w:val="22"/>
                <w:szCs w:val="22"/>
                <w:highlight w:val="none"/>
              </w:rPr>
            </w:pPr>
          </w:p>
        </w:tc>
      </w:tr>
      <w:tr w14:paraId="747D3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continue"/>
            <w:tcBorders>
              <w:top w:val="single" w:color="000000" w:sz="4" w:space="0"/>
              <w:left w:val="single" w:color="000000" w:sz="12" w:space="0"/>
              <w:bottom w:val="single" w:color="000000" w:sz="4" w:space="0"/>
              <w:right w:val="single" w:color="000000" w:sz="4" w:space="0"/>
            </w:tcBorders>
            <w:noWrap w:val="0"/>
            <w:vAlign w:val="top"/>
          </w:tcPr>
          <w:p w14:paraId="0C3EA50C">
            <w:pPr>
              <w:rPr>
                <w:rStyle w:val="45"/>
                <w:rFonts w:ascii="新宋体" w:hAnsi="新宋体" w:eastAsia="新宋体"/>
                <w:b/>
                <w:bCs/>
                <w:color w:val="auto"/>
                <w:sz w:val="22"/>
                <w:szCs w:val="22"/>
                <w:highlight w:val="none"/>
              </w:rPr>
            </w:pPr>
          </w:p>
        </w:tc>
        <w:tc>
          <w:tcPr>
            <w:tcW w:w="1046" w:type="pct"/>
            <w:vMerge w:val="continue"/>
            <w:tcBorders>
              <w:top w:val="single" w:color="000000" w:sz="4" w:space="0"/>
              <w:left w:val="single" w:color="000000" w:sz="4" w:space="0"/>
              <w:bottom w:val="single" w:color="000000" w:sz="4" w:space="0"/>
              <w:right w:val="single" w:color="000000" w:sz="4" w:space="0"/>
            </w:tcBorders>
            <w:noWrap w:val="0"/>
            <w:vAlign w:val="top"/>
          </w:tcPr>
          <w:p w14:paraId="2E4AB633">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5E44E4CA">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7C44A0E4">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420DEF09">
            <w:pPr>
              <w:rPr>
                <w:rStyle w:val="45"/>
                <w:rFonts w:ascii="新宋体" w:hAnsi="新宋体" w:eastAsia="新宋体"/>
                <w:b/>
                <w:bCs/>
                <w:color w:val="auto"/>
                <w:sz w:val="22"/>
                <w:szCs w:val="22"/>
                <w:highlight w:val="none"/>
              </w:rPr>
            </w:pPr>
          </w:p>
        </w:tc>
      </w:tr>
      <w:tr w14:paraId="30E4E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continue"/>
            <w:tcBorders>
              <w:top w:val="single" w:color="000000" w:sz="4" w:space="0"/>
              <w:left w:val="single" w:color="000000" w:sz="12" w:space="0"/>
              <w:bottom w:val="single" w:color="000000" w:sz="4" w:space="0"/>
              <w:right w:val="single" w:color="000000" w:sz="4" w:space="0"/>
            </w:tcBorders>
            <w:noWrap w:val="0"/>
            <w:vAlign w:val="top"/>
          </w:tcPr>
          <w:p w14:paraId="19ED78C9">
            <w:pPr>
              <w:rPr>
                <w:rStyle w:val="45"/>
                <w:rFonts w:ascii="新宋体" w:hAnsi="新宋体" w:eastAsia="新宋体"/>
                <w:b/>
                <w:bCs/>
                <w:color w:val="auto"/>
                <w:sz w:val="22"/>
                <w:szCs w:val="22"/>
                <w:highlight w:val="none"/>
              </w:rPr>
            </w:pPr>
          </w:p>
        </w:tc>
        <w:tc>
          <w:tcPr>
            <w:tcW w:w="1046" w:type="pct"/>
            <w:vMerge w:val="continue"/>
            <w:tcBorders>
              <w:top w:val="single" w:color="000000" w:sz="4" w:space="0"/>
              <w:left w:val="single" w:color="000000" w:sz="4" w:space="0"/>
              <w:bottom w:val="single" w:color="000000" w:sz="4" w:space="0"/>
              <w:right w:val="single" w:color="000000" w:sz="4" w:space="0"/>
            </w:tcBorders>
            <w:noWrap w:val="0"/>
            <w:vAlign w:val="top"/>
          </w:tcPr>
          <w:p w14:paraId="15D9489B">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54CA95F8">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10FAB916">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67DBAA45">
            <w:pPr>
              <w:rPr>
                <w:rStyle w:val="45"/>
                <w:rFonts w:ascii="新宋体" w:hAnsi="新宋体" w:eastAsia="新宋体"/>
                <w:b/>
                <w:bCs/>
                <w:color w:val="auto"/>
                <w:sz w:val="22"/>
                <w:szCs w:val="22"/>
                <w:highlight w:val="none"/>
              </w:rPr>
            </w:pPr>
          </w:p>
        </w:tc>
      </w:tr>
      <w:tr w14:paraId="5748C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restart"/>
            <w:tcBorders>
              <w:top w:val="single" w:color="000000" w:sz="4" w:space="0"/>
              <w:left w:val="single" w:color="000000" w:sz="12" w:space="0"/>
              <w:bottom w:val="single" w:color="000000" w:sz="4" w:space="0"/>
              <w:right w:val="single" w:color="000000" w:sz="4" w:space="0"/>
            </w:tcBorders>
            <w:noWrap w:val="0"/>
            <w:vAlign w:val="top"/>
          </w:tcPr>
          <w:p w14:paraId="1D2974E7">
            <w:pPr>
              <w:rPr>
                <w:rStyle w:val="45"/>
                <w:rFonts w:ascii="新宋体" w:hAnsi="新宋体" w:eastAsia="新宋体"/>
                <w:b/>
                <w:bCs/>
                <w:color w:val="auto"/>
                <w:sz w:val="22"/>
                <w:szCs w:val="22"/>
                <w:highlight w:val="none"/>
              </w:rPr>
            </w:pPr>
          </w:p>
        </w:tc>
        <w:tc>
          <w:tcPr>
            <w:tcW w:w="1046" w:type="pct"/>
            <w:vMerge w:val="restart"/>
            <w:tcBorders>
              <w:top w:val="single" w:color="000000" w:sz="4" w:space="0"/>
              <w:left w:val="single" w:color="000000" w:sz="4" w:space="0"/>
              <w:bottom w:val="single" w:color="000000" w:sz="4" w:space="0"/>
              <w:right w:val="single" w:color="000000" w:sz="4" w:space="0"/>
            </w:tcBorders>
            <w:noWrap w:val="0"/>
            <w:vAlign w:val="top"/>
          </w:tcPr>
          <w:p w14:paraId="7F1E805C">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3B74AD48">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33E1AD30">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697CA451">
            <w:pPr>
              <w:rPr>
                <w:rStyle w:val="45"/>
                <w:rFonts w:ascii="新宋体" w:hAnsi="新宋体" w:eastAsia="新宋体"/>
                <w:b/>
                <w:bCs/>
                <w:color w:val="auto"/>
                <w:sz w:val="22"/>
                <w:szCs w:val="22"/>
                <w:highlight w:val="none"/>
              </w:rPr>
            </w:pPr>
          </w:p>
        </w:tc>
      </w:tr>
      <w:tr w14:paraId="5CBFF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continue"/>
            <w:tcBorders>
              <w:top w:val="single" w:color="000000" w:sz="4" w:space="0"/>
              <w:left w:val="single" w:color="000000" w:sz="12" w:space="0"/>
              <w:bottom w:val="single" w:color="000000" w:sz="4" w:space="0"/>
              <w:right w:val="single" w:color="000000" w:sz="4" w:space="0"/>
            </w:tcBorders>
            <w:noWrap w:val="0"/>
            <w:vAlign w:val="top"/>
          </w:tcPr>
          <w:p w14:paraId="2921D597">
            <w:pPr>
              <w:rPr>
                <w:rStyle w:val="45"/>
                <w:rFonts w:ascii="新宋体" w:hAnsi="新宋体" w:eastAsia="新宋体"/>
                <w:b/>
                <w:bCs/>
                <w:color w:val="auto"/>
                <w:sz w:val="22"/>
                <w:szCs w:val="22"/>
                <w:highlight w:val="none"/>
              </w:rPr>
            </w:pPr>
          </w:p>
        </w:tc>
        <w:tc>
          <w:tcPr>
            <w:tcW w:w="1046" w:type="pct"/>
            <w:vMerge w:val="continue"/>
            <w:tcBorders>
              <w:top w:val="single" w:color="000000" w:sz="4" w:space="0"/>
              <w:left w:val="single" w:color="000000" w:sz="4" w:space="0"/>
              <w:bottom w:val="single" w:color="000000" w:sz="4" w:space="0"/>
              <w:right w:val="single" w:color="000000" w:sz="4" w:space="0"/>
            </w:tcBorders>
            <w:noWrap w:val="0"/>
            <w:vAlign w:val="top"/>
          </w:tcPr>
          <w:p w14:paraId="4010E5C3">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4" w:space="0"/>
              <w:right w:val="single" w:color="000000" w:sz="4" w:space="0"/>
            </w:tcBorders>
            <w:noWrap w:val="0"/>
            <w:vAlign w:val="top"/>
          </w:tcPr>
          <w:p w14:paraId="6046CFD7">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4" w:space="0"/>
              <w:right w:val="single" w:color="000000" w:sz="4" w:space="0"/>
            </w:tcBorders>
            <w:noWrap w:val="0"/>
            <w:vAlign w:val="top"/>
          </w:tcPr>
          <w:p w14:paraId="23A2C6B1">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4" w:space="0"/>
              <w:right w:val="single" w:color="000000" w:sz="12" w:space="0"/>
            </w:tcBorders>
            <w:noWrap w:val="0"/>
            <w:vAlign w:val="top"/>
          </w:tcPr>
          <w:p w14:paraId="6AA5FD23">
            <w:pPr>
              <w:rPr>
                <w:rStyle w:val="45"/>
                <w:rFonts w:ascii="新宋体" w:hAnsi="新宋体" w:eastAsia="新宋体"/>
                <w:b/>
                <w:bCs/>
                <w:color w:val="auto"/>
                <w:sz w:val="22"/>
                <w:szCs w:val="22"/>
                <w:highlight w:val="none"/>
              </w:rPr>
            </w:pPr>
          </w:p>
        </w:tc>
      </w:tr>
      <w:tr w14:paraId="11251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7" w:hRule="atLeast"/>
        </w:trPr>
        <w:tc>
          <w:tcPr>
            <w:tcW w:w="578" w:type="pct"/>
            <w:vMerge w:val="continue"/>
            <w:tcBorders>
              <w:top w:val="single" w:color="000000" w:sz="4" w:space="0"/>
              <w:left w:val="single" w:color="000000" w:sz="12" w:space="0"/>
              <w:bottom w:val="single" w:color="000000" w:sz="12" w:space="0"/>
              <w:right w:val="single" w:color="000000" w:sz="4" w:space="0"/>
            </w:tcBorders>
            <w:noWrap w:val="0"/>
            <w:vAlign w:val="top"/>
          </w:tcPr>
          <w:p w14:paraId="27ACBD7B">
            <w:pPr>
              <w:rPr>
                <w:rStyle w:val="45"/>
                <w:rFonts w:ascii="新宋体" w:hAnsi="新宋体" w:eastAsia="新宋体"/>
                <w:b/>
                <w:bCs/>
                <w:color w:val="auto"/>
                <w:sz w:val="22"/>
                <w:szCs w:val="22"/>
                <w:highlight w:val="none"/>
              </w:rPr>
            </w:pPr>
          </w:p>
        </w:tc>
        <w:tc>
          <w:tcPr>
            <w:tcW w:w="1046" w:type="pct"/>
            <w:vMerge w:val="continue"/>
            <w:tcBorders>
              <w:top w:val="single" w:color="000000" w:sz="4" w:space="0"/>
              <w:left w:val="single" w:color="000000" w:sz="4" w:space="0"/>
              <w:bottom w:val="single" w:color="000000" w:sz="12" w:space="0"/>
              <w:right w:val="single" w:color="000000" w:sz="4" w:space="0"/>
            </w:tcBorders>
            <w:noWrap w:val="0"/>
            <w:vAlign w:val="top"/>
          </w:tcPr>
          <w:p w14:paraId="512FCBAE">
            <w:pPr>
              <w:rPr>
                <w:rStyle w:val="45"/>
                <w:rFonts w:ascii="新宋体" w:hAnsi="新宋体" w:eastAsia="新宋体"/>
                <w:b/>
                <w:bCs/>
                <w:color w:val="auto"/>
                <w:sz w:val="22"/>
                <w:szCs w:val="22"/>
                <w:highlight w:val="none"/>
              </w:rPr>
            </w:pPr>
          </w:p>
        </w:tc>
        <w:tc>
          <w:tcPr>
            <w:tcW w:w="1995" w:type="pct"/>
            <w:tcBorders>
              <w:top w:val="single" w:color="000000" w:sz="4" w:space="0"/>
              <w:left w:val="single" w:color="000000" w:sz="4" w:space="0"/>
              <w:bottom w:val="single" w:color="000000" w:sz="12" w:space="0"/>
              <w:right w:val="single" w:color="000000" w:sz="4" w:space="0"/>
            </w:tcBorders>
            <w:noWrap w:val="0"/>
            <w:vAlign w:val="top"/>
          </w:tcPr>
          <w:p w14:paraId="329B9F6C">
            <w:pPr>
              <w:rPr>
                <w:rStyle w:val="45"/>
                <w:rFonts w:ascii="新宋体" w:hAnsi="新宋体" w:eastAsia="新宋体"/>
                <w:b/>
                <w:bCs/>
                <w:color w:val="auto"/>
                <w:sz w:val="22"/>
                <w:szCs w:val="22"/>
                <w:highlight w:val="none"/>
              </w:rPr>
            </w:pPr>
          </w:p>
        </w:tc>
        <w:tc>
          <w:tcPr>
            <w:tcW w:w="623" w:type="pct"/>
            <w:tcBorders>
              <w:top w:val="single" w:color="000000" w:sz="4" w:space="0"/>
              <w:left w:val="single" w:color="000000" w:sz="4" w:space="0"/>
              <w:bottom w:val="single" w:color="000000" w:sz="12" w:space="0"/>
              <w:right w:val="single" w:color="000000" w:sz="4" w:space="0"/>
            </w:tcBorders>
            <w:noWrap w:val="0"/>
            <w:vAlign w:val="top"/>
          </w:tcPr>
          <w:p w14:paraId="578A2CB7">
            <w:pPr>
              <w:rPr>
                <w:rStyle w:val="45"/>
                <w:rFonts w:ascii="新宋体" w:hAnsi="新宋体" w:eastAsia="新宋体"/>
                <w:b/>
                <w:bCs/>
                <w:color w:val="auto"/>
                <w:sz w:val="22"/>
                <w:szCs w:val="22"/>
                <w:highlight w:val="none"/>
              </w:rPr>
            </w:pPr>
          </w:p>
        </w:tc>
        <w:tc>
          <w:tcPr>
            <w:tcW w:w="755" w:type="pct"/>
            <w:tcBorders>
              <w:top w:val="single" w:color="000000" w:sz="4" w:space="0"/>
              <w:left w:val="single" w:color="000000" w:sz="4" w:space="0"/>
              <w:bottom w:val="single" w:color="000000" w:sz="12" w:space="0"/>
              <w:right w:val="single" w:color="000000" w:sz="12" w:space="0"/>
            </w:tcBorders>
            <w:noWrap w:val="0"/>
            <w:vAlign w:val="top"/>
          </w:tcPr>
          <w:p w14:paraId="20F95029">
            <w:pPr>
              <w:rPr>
                <w:rStyle w:val="45"/>
                <w:rFonts w:ascii="新宋体" w:hAnsi="新宋体" w:eastAsia="新宋体"/>
                <w:b/>
                <w:bCs/>
                <w:color w:val="auto"/>
                <w:sz w:val="22"/>
                <w:szCs w:val="22"/>
                <w:highlight w:val="none"/>
              </w:rPr>
            </w:pPr>
          </w:p>
        </w:tc>
      </w:tr>
    </w:tbl>
    <w:p w14:paraId="601597FF">
      <w:pPr>
        <w:ind w:left="745" w:leftChars="4" w:hanging="737" w:hangingChars="335"/>
        <w:rPr>
          <w:rStyle w:val="45"/>
          <w:rFonts w:ascii="新宋体" w:hAnsi="新宋体" w:eastAsia="新宋体"/>
          <w:color w:val="auto"/>
          <w:sz w:val="22"/>
          <w:szCs w:val="22"/>
          <w:highlight w:val="none"/>
        </w:rPr>
      </w:pPr>
      <w:r>
        <w:rPr>
          <w:rStyle w:val="45"/>
          <w:rFonts w:ascii="新宋体" w:hAnsi="新宋体" w:eastAsia="新宋体"/>
          <w:color w:val="auto"/>
          <w:kern w:val="0"/>
          <w:sz w:val="22"/>
          <w:szCs w:val="22"/>
          <w:highlight w:val="none"/>
          <w:lang w:val="zh-CN"/>
        </w:rPr>
        <w:t>注：</w:t>
      </w:r>
      <w:r>
        <w:rPr>
          <w:rStyle w:val="45"/>
          <w:rFonts w:ascii="新宋体" w:hAnsi="新宋体" w:eastAsia="新宋体"/>
          <w:color w:val="auto"/>
          <w:kern w:val="0"/>
          <w:sz w:val="22"/>
          <w:szCs w:val="22"/>
          <w:highlight w:val="none"/>
        </w:rPr>
        <w:t>1.</w:t>
      </w:r>
      <w:r>
        <w:rPr>
          <w:rStyle w:val="45"/>
          <w:rFonts w:ascii="新宋体" w:hAnsi="新宋体" w:eastAsia="新宋体"/>
          <w:color w:val="auto"/>
          <w:sz w:val="22"/>
          <w:szCs w:val="22"/>
          <w:highlight w:val="none"/>
        </w:rPr>
        <w:t>详细配置说明一栏中需提供</w:t>
      </w:r>
      <w:r>
        <w:rPr>
          <w:rStyle w:val="45"/>
          <w:rFonts w:hint="eastAsia" w:ascii="新宋体" w:hAnsi="新宋体" w:eastAsia="新宋体"/>
          <w:color w:val="auto"/>
          <w:sz w:val="22"/>
          <w:szCs w:val="22"/>
          <w:highlight w:val="none"/>
        </w:rPr>
        <w:t>产品</w:t>
      </w:r>
      <w:r>
        <w:rPr>
          <w:rStyle w:val="45"/>
          <w:rFonts w:ascii="新宋体" w:hAnsi="新宋体" w:eastAsia="新宋体"/>
          <w:color w:val="auto"/>
          <w:sz w:val="22"/>
          <w:szCs w:val="22"/>
          <w:highlight w:val="none"/>
        </w:rPr>
        <w:t>规格、</w:t>
      </w:r>
      <w:r>
        <w:rPr>
          <w:rStyle w:val="45"/>
          <w:rFonts w:hint="eastAsia" w:ascii="新宋体" w:hAnsi="新宋体" w:eastAsia="新宋体"/>
          <w:color w:val="auto"/>
          <w:sz w:val="22"/>
          <w:szCs w:val="22"/>
          <w:highlight w:val="none"/>
          <w:lang w:val="en-US" w:eastAsia="zh-CN"/>
        </w:rPr>
        <w:t>材质</w:t>
      </w:r>
      <w:r>
        <w:rPr>
          <w:rStyle w:val="45"/>
          <w:rFonts w:ascii="新宋体" w:hAnsi="新宋体" w:eastAsia="新宋体"/>
          <w:color w:val="auto"/>
          <w:sz w:val="22"/>
          <w:szCs w:val="22"/>
          <w:highlight w:val="none"/>
        </w:rPr>
        <w:t>、性能描述等。</w:t>
      </w:r>
    </w:p>
    <w:p w14:paraId="68124E9E">
      <w:pPr>
        <w:ind w:firstLine="440" w:firstLineChars="200"/>
        <w:rPr>
          <w:rStyle w:val="45"/>
          <w:rFonts w:ascii="新宋体" w:hAnsi="新宋体" w:eastAsia="新宋体"/>
          <w:color w:val="auto"/>
          <w:sz w:val="22"/>
          <w:szCs w:val="22"/>
          <w:highlight w:val="none"/>
        </w:rPr>
      </w:pPr>
      <w:r>
        <w:rPr>
          <w:rStyle w:val="45"/>
          <w:rFonts w:ascii="新宋体" w:hAnsi="新宋体" w:eastAsia="新宋体"/>
          <w:color w:val="auto"/>
          <w:sz w:val="22"/>
          <w:szCs w:val="22"/>
          <w:highlight w:val="none"/>
        </w:rPr>
        <w:t>2.此表仅提供了表格形式，</w:t>
      </w:r>
      <w:r>
        <w:rPr>
          <w:rStyle w:val="45"/>
          <w:rFonts w:hint="eastAsia" w:ascii="新宋体" w:hAnsi="新宋体" w:eastAsia="新宋体"/>
          <w:color w:val="auto"/>
          <w:sz w:val="22"/>
          <w:szCs w:val="22"/>
          <w:highlight w:val="none"/>
        </w:rPr>
        <w:t>供应商</w:t>
      </w:r>
      <w:r>
        <w:rPr>
          <w:rStyle w:val="45"/>
          <w:rFonts w:ascii="新宋体" w:hAnsi="新宋体" w:eastAsia="新宋体"/>
          <w:color w:val="auto"/>
          <w:sz w:val="22"/>
          <w:szCs w:val="22"/>
          <w:highlight w:val="none"/>
        </w:rPr>
        <w:t>应根据需要准备足够数量的表格来填写。</w:t>
      </w:r>
    </w:p>
    <w:p w14:paraId="7B9FE2D3">
      <w:pPr>
        <w:rPr>
          <w:rFonts w:eastAsia="新宋体"/>
          <w:color w:val="auto"/>
          <w:sz w:val="22"/>
          <w:szCs w:val="22"/>
          <w:highlight w:val="none"/>
        </w:rPr>
      </w:pPr>
    </w:p>
    <w:p w14:paraId="1B4D924F">
      <w:pPr>
        <w:rPr>
          <w:rFonts w:eastAsia="新宋体"/>
          <w:color w:val="auto"/>
          <w:sz w:val="22"/>
          <w:szCs w:val="22"/>
          <w:highlight w:val="none"/>
        </w:rPr>
      </w:pPr>
    </w:p>
    <w:p w14:paraId="09F2ABA2">
      <w:pPr>
        <w:spacing w:line="440" w:lineRule="exact"/>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投标供应商全称（公章）：</w:t>
      </w:r>
    </w:p>
    <w:p w14:paraId="3DAF0B8A">
      <w:pPr>
        <w:spacing w:line="440" w:lineRule="exact"/>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法定代表人或授权代表（签字或盖章）：</w:t>
      </w:r>
    </w:p>
    <w:p w14:paraId="7F5A94FB">
      <w:pPr>
        <w:spacing w:line="440" w:lineRule="exact"/>
        <w:jc w:val="right"/>
        <w:rPr>
          <w:rFonts w:hint="eastAsia" w:ascii="宋体" w:hAnsi="宋体" w:cs="宋体"/>
          <w:color w:val="auto"/>
          <w:sz w:val="22"/>
          <w:szCs w:val="22"/>
          <w:highlight w:val="none"/>
        </w:rPr>
      </w:pPr>
      <w:r>
        <w:rPr>
          <w:rFonts w:hint="eastAsia" w:ascii="宋体" w:hAnsi="宋体" w:cs="宋体"/>
          <w:color w:val="auto"/>
          <w:sz w:val="22"/>
          <w:szCs w:val="22"/>
          <w:highlight w:val="none"/>
        </w:rPr>
        <w:t>日 期：      年     月    日</w:t>
      </w:r>
    </w:p>
    <w:p w14:paraId="511257F2">
      <w:pPr>
        <w:tabs>
          <w:tab w:val="left" w:pos="840"/>
        </w:tabs>
        <w:adjustRightInd w:val="0"/>
        <w:snapToGrid w:val="0"/>
        <w:spacing w:line="360" w:lineRule="auto"/>
        <w:ind w:left="420" w:leftChars="200" w:firstLine="331" w:firstLineChars="1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14:paraId="47C4B502">
      <w:pPr>
        <w:spacing w:before="120" w:beforeLines="50" w:after="120" w:afterLine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（商务报价标封面，供参考）</w:t>
      </w:r>
    </w:p>
    <w:p w14:paraId="6060DC40">
      <w:pPr>
        <w:rPr>
          <w:rFonts w:hint="eastAsia" w:ascii="新宋体" w:hAnsi="新宋体" w:eastAsia="新宋体" w:cs="新宋体"/>
          <w:color w:val="auto"/>
          <w:highlight w:val="none"/>
        </w:rPr>
      </w:pPr>
    </w:p>
    <w:p w14:paraId="7EEE6ADF">
      <w:pPr>
        <w:rPr>
          <w:rFonts w:hint="eastAsia" w:ascii="新宋体" w:hAnsi="新宋体" w:eastAsia="新宋体" w:cs="新宋体"/>
          <w:color w:val="auto"/>
          <w:highlight w:val="none"/>
        </w:rPr>
      </w:pPr>
    </w:p>
    <w:p w14:paraId="1B86F53C">
      <w:pPr>
        <w:rPr>
          <w:rFonts w:hint="eastAsia" w:ascii="新宋体" w:hAnsi="新宋体" w:eastAsia="新宋体" w:cs="新宋体"/>
          <w:color w:val="auto"/>
          <w:highlight w:val="none"/>
        </w:rPr>
      </w:pPr>
    </w:p>
    <w:p w14:paraId="237ABAF7">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（项目名称）              </w:t>
      </w:r>
      <w:r>
        <w:rPr>
          <w:rFonts w:hint="eastAsia" w:ascii="新宋体" w:hAnsi="新宋体" w:eastAsia="新宋体" w:cs="新宋体"/>
          <w:color w:val="auto"/>
          <w:sz w:val="28"/>
          <w:szCs w:val="28"/>
          <w:highlight w:val="none"/>
        </w:rPr>
        <w:t>投标文件</w:t>
      </w:r>
    </w:p>
    <w:p w14:paraId="36636A1A">
      <w:pPr>
        <w:rPr>
          <w:rFonts w:hint="eastAsia" w:ascii="新宋体" w:hAnsi="新宋体" w:eastAsia="新宋体" w:cs="新宋体"/>
          <w:color w:val="auto"/>
          <w:sz w:val="28"/>
          <w:szCs w:val="28"/>
          <w:highlight w:val="none"/>
        </w:rPr>
      </w:pPr>
    </w:p>
    <w:p w14:paraId="1EEA2F27">
      <w:pPr>
        <w:rPr>
          <w:rFonts w:hint="eastAsia" w:ascii="新宋体" w:hAnsi="新宋体" w:eastAsia="新宋体" w:cs="新宋体"/>
          <w:color w:val="auto"/>
          <w:sz w:val="28"/>
          <w:szCs w:val="28"/>
          <w:highlight w:val="none"/>
        </w:rPr>
      </w:pPr>
    </w:p>
    <w:p w14:paraId="191FBE7E">
      <w:pPr>
        <w:pStyle w:val="2"/>
        <w:ind w:firstLine="280"/>
        <w:rPr>
          <w:rFonts w:hint="eastAsia" w:ascii="新宋体" w:hAnsi="新宋体" w:eastAsia="新宋体" w:cs="新宋体"/>
          <w:color w:val="auto"/>
          <w:sz w:val="28"/>
          <w:szCs w:val="28"/>
          <w:highlight w:val="none"/>
        </w:rPr>
      </w:pPr>
    </w:p>
    <w:p w14:paraId="71DB9AA6">
      <w:pPr>
        <w:pStyle w:val="2"/>
        <w:ind w:firstLine="280"/>
        <w:rPr>
          <w:rFonts w:hint="eastAsia" w:ascii="新宋体" w:hAnsi="新宋体" w:eastAsia="新宋体" w:cs="新宋体"/>
          <w:color w:val="auto"/>
          <w:sz w:val="28"/>
          <w:szCs w:val="28"/>
          <w:highlight w:val="none"/>
        </w:rPr>
      </w:pPr>
    </w:p>
    <w:p w14:paraId="10C8B8F6">
      <w:pPr>
        <w:rPr>
          <w:rFonts w:hint="eastAsia" w:ascii="新宋体" w:hAnsi="新宋体" w:eastAsia="新宋体" w:cs="新宋体"/>
          <w:color w:val="auto"/>
          <w:sz w:val="28"/>
          <w:szCs w:val="28"/>
          <w:highlight w:val="none"/>
        </w:rPr>
      </w:pPr>
    </w:p>
    <w:p w14:paraId="7F6C6325">
      <w:pPr>
        <w:rPr>
          <w:rFonts w:hint="eastAsia" w:ascii="新宋体" w:hAnsi="新宋体" w:eastAsia="新宋体" w:cs="新宋体"/>
          <w:color w:val="auto"/>
          <w:sz w:val="28"/>
          <w:szCs w:val="28"/>
          <w:highlight w:val="none"/>
        </w:rPr>
      </w:pPr>
    </w:p>
    <w:p w14:paraId="7C2481F7">
      <w:pPr>
        <w:jc w:val="center"/>
        <w:rPr>
          <w:rFonts w:hint="eastAsia" w:ascii="新宋体" w:hAnsi="新宋体" w:eastAsia="新宋体" w:cs="新宋体"/>
          <w:color w:val="auto"/>
          <w:sz w:val="52"/>
          <w:szCs w:val="52"/>
          <w:highlight w:val="none"/>
        </w:rPr>
      </w:pPr>
      <w:r>
        <w:rPr>
          <w:rFonts w:hint="eastAsia" w:ascii="新宋体" w:hAnsi="新宋体" w:eastAsia="新宋体" w:cs="新宋体"/>
          <w:color w:val="auto"/>
          <w:sz w:val="52"/>
          <w:szCs w:val="52"/>
          <w:highlight w:val="none"/>
        </w:rPr>
        <w:t xml:space="preserve">商  务  </w:t>
      </w:r>
      <w:r>
        <w:rPr>
          <w:rFonts w:hint="eastAsia" w:ascii="新宋体" w:hAnsi="新宋体" w:eastAsia="新宋体" w:cs="新宋体"/>
          <w:color w:val="auto"/>
          <w:sz w:val="52"/>
          <w:szCs w:val="52"/>
          <w:highlight w:val="none"/>
          <w:lang w:val="en-US" w:eastAsia="zh-CN"/>
        </w:rPr>
        <w:t xml:space="preserve">报  价  </w:t>
      </w:r>
      <w:r>
        <w:rPr>
          <w:rFonts w:hint="eastAsia" w:ascii="新宋体" w:hAnsi="新宋体" w:eastAsia="新宋体" w:cs="新宋体"/>
          <w:color w:val="auto"/>
          <w:sz w:val="52"/>
          <w:szCs w:val="52"/>
          <w:highlight w:val="none"/>
        </w:rPr>
        <w:t>标</w:t>
      </w:r>
    </w:p>
    <w:p w14:paraId="1F9AE6EE">
      <w:pPr>
        <w:spacing w:line="360" w:lineRule="auto"/>
        <w:rPr>
          <w:rFonts w:hint="eastAsia" w:ascii="新宋体" w:hAnsi="新宋体" w:eastAsia="新宋体" w:cs="新宋体"/>
          <w:color w:val="auto"/>
          <w:szCs w:val="21"/>
          <w:highlight w:val="none"/>
        </w:rPr>
      </w:pPr>
    </w:p>
    <w:p w14:paraId="1499F83A">
      <w:pPr>
        <w:spacing w:line="360" w:lineRule="auto"/>
        <w:rPr>
          <w:rFonts w:hint="eastAsia" w:ascii="新宋体" w:hAnsi="新宋体" w:eastAsia="新宋体" w:cs="新宋体"/>
          <w:color w:val="auto"/>
          <w:szCs w:val="21"/>
          <w:highlight w:val="none"/>
        </w:rPr>
      </w:pPr>
    </w:p>
    <w:p w14:paraId="71D492A6">
      <w:pPr>
        <w:spacing w:line="360" w:lineRule="auto"/>
        <w:rPr>
          <w:rFonts w:hint="eastAsia" w:ascii="新宋体" w:hAnsi="新宋体" w:eastAsia="新宋体" w:cs="新宋体"/>
          <w:color w:val="auto"/>
          <w:szCs w:val="21"/>
          <w:highlight w:val="none"/>
        </w:rPr>
      </w:pPr>
    </w:p>
    <w:p w14:paraId="030AD262">
      <w:pPr>
        <w:spacing w:line="360" w:lineRule="auto"/>
        <w:rPr>
          <w:rFonts w:hint="eastAsia" w:ascii="新宋体" w:hAnsi="新宋体" w:eastAsia="新宋体" w:cs="新宋体"/>
          <w:color w:val="auto"/>
          <w:szCs w:val="21"/>
          <w:highlight w:val="none"/>
        </w:rPr>
      </w:pPr>
    </w:p>
    <w:p w14:paraId="5135B89E">
      <w:pPr>
        <w:spacing w:line="360" w:lineRule="auto"/>
        <w:rPr>
          <w:rFonts w:hint="eastAsia" w:ascii="新宋体" w:hAnsi="新宋体" w:eastAsia="新宋体" w:cs="新宋体"/>
          <w:color w:val="auto"/>
          <w:szCs w:val="21"/>
          <w:highlight w:val="none"/>
        </w:rPr>
      </w:pPr>
    </w:p>
    <w:p w14:paraId="14F85607">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投标供应商：</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14:paraId="1608FFBF">
      <w:pPr>
        <w:rPr>
          <w:rFonts w:hint="eastAsia" w:ascii="新宋体" w:hAnsi="新宋体" w:eastAsia="新宋体" w:cs="新宋体"/>
          <w:color w:val="auto"/>
          <w:sz w:val="28"/>
          <w:szCs w:val="28"/>
          <w:highlight w:val="none"/>
          <w:u w:val="single"/>
        </w:rPr>
      </w:pPr>
    </w:p>
    <w:p w14:paraId="7247F483">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法定代表人或其委托代理人：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14:paraId="4D7C3349">
      <w:pPr>
        <w:rPr>
          <w:rFonts w:hint="eastAsia" w:ascii="新宋体" w:hAnsi="新宋体" w:eastAsia="新宋体" w:cs="新宋体"/>
          <w:color w:val="auto"/>
          <w:sz w:val="28"/>
          <w:szCs w:val="28"/>
          <w:highlight w:val="none"/>
        </w:rPr>
      </w:pPr>
    </w:p>
    <w:p w14:paraId="30C84E5D">
      <w:pPr>
        <w:overflowPunct w:val="0"/>
        <w:spacing w:line="380" w:lineRule="exact"/>
        <w:ind w:firstLine="2738" w:firstLineChars="978"/>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14:paraId="0F730D45">
      <w:pPr>
        <w:rPr>
          <w:rFonts w:hint="eastAsia" w:ascii="新宋体" w:hAnsi="新宋体" w:eastAsia="新宋体" w:cs="新宋体"/>
          <w:color w:val="auto"/>
          <w:sz w:val="22"/>
          <w:szCs w:val="22"/>
          <w:highlight w:val="none"/>
        </w:rPr>
      </w:pPr>
    </w:p>
    <w:p w14:paraId="4BD0CE7B">
      <w:pPr>
        <w:rPr>
          <w:rFonts w:hint="eastAsia" w:ascii="新宋体" w:hAnsi="新宋体" w:eastAsia="新宋体" w:cs="新宋体"/>
          <w:color w:val="auto"/>
          <w:sz w:val="22"/>
          <w:szCs w:val="22"/>
          <w:highlight w:val="none"/>
        </w:rPr>
      </w:pPr>
    </w:p>
    <w:p w14:paraId="248E2A4A">
      <w:pPr>
        <w:overflowPunct w:val="0"/>
        <w:spacing w:line="38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br w:type="page"/>
      </w:r>
      <w:r>
        <w:rPr>
          <w:rFonts w:hint="eastAsia" w:ascii="新宋体" w:hAnsi="新宋体" w:eastAsia="新宋体" w:cs="新宋体"/>
          <w:b/>
          <w:bCs/>
          <w:color w:val="auto"/>
          <w:sz w:val="22"/>
          <w:szCs w:val="22"/>
          <w:highlight w:val="none"/>
        </w:rPr>
        <w:t>附件六</w:t>
      </w:r>
    </w:p>
    <w:p w14:paraId="7CF9180B">
      <w:pPr>
        <w:autoSpaceDE w:val="0"/>
        <w:autoSpaceDN w:val="0"/>
        <w:adjustRightInd w:val="0"/>
        <w:spacing w:line="460" w:lineRule="atLeast"/>
        <w:jc w:val="center"/>
        <w:rPr>
          <w:rFonts w:hint="eastAsia" w:ascii="新宋体" w:hAnsi="新宋体" w:eastAsia="新宋体" w:cs="新宋体"/>
          <w:b/>
          <w:bCs/>
          <w:color w:val="auto"/>
          <w:kern w:val="0"/>
          <w:sz w:val="28"/>
          <w:szCs w:val="28"/>
          <w:highlight w:val="none"/>
          <w:lang w:val="zh-CN"/>
        </w:rPr>
      </w:pPr>
    </w:p>
    <w:p w14:paraId="7B1C62EA">
      <w:pPr>
        <w:autoSpaceDE w:val="0"/>
        <w:autoSpaceDN w:val="0"/>
        <w:adjustRightInd w:val="0"/>
        <w:spacing w:line="460" w:lineRule="atLeast"/>
        <w:jc w:val="center"/>
        <w:rPr>
          <w:rFonts w:hint="eastAsia" w:ascii="新宋体" w:hAnsi="新宋体" w:eastAsia="新宋体" w:cs="新宋体"/>
          <w:b/>
          <w:bCs/>
          <w:color w:val="auto"/>
          <w:kern w:val="0"/>
          <w:sz w:val="28"/>
          <w:szCs w:val="28"/>
          <w:highlight w:val="none"/>
          <w:lang w:val="zh-CN"/>
        </w:rPr>
      </w:pPr>
      <w:r>
        <w:rPr>
          <w:rFonts w:hint="eastAsia" w:ascii="新宋体" w:hAnsi="新宋体" w:eastAsia="新宋体" w:cs="新宋体"/>
          <w:b/>
          <w:bCs/>
          <w:color w:val="auto"/>
          <w:kern w:val="0"/>
          <w:sz w:val="28"/>
          <w:szCs w:val="28"/>
          <w:highlight w:val="none"/>
          <w:lang w:val="zh-CN"/>
        </w:rPr>
        <w:t>开标一览表</w:t>
      </w:r>
    </w:p>
    <w:p w14:paraId="0B0BB434">
      <w:pPr>
        <w:overflowPunct w:val="0"/>
        <w:spacing w:line="380" w:lineRule="exact"/>
        <w:jc w:val="center"/>
        <w:rPr>
          <w:rFonts w:hint="eastAsia" w:ascii="新宋体" w:hAnsi="新宋体" w:eastAsia="新宋体" w:cs="新宋体"/>
          <w:b/>
          <w:bCs/>
          <w:color w:val="auto"/>
          <w:sz w:val="28"/>
          <w:highlight w:val="none"/>
        </w:rPr>
      </w:pPr>
    </w:p>
    <w:p w14:paraId="5B0CF8D8">
      <w:pPr>
        <w:overflowPunct w:val="0"/>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                                   项目编号：</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1"/>
        <w:gridCol w:w="4019"/>
        <w:gridCol w:w="2388"/>
      </w:tblGrid>
      <w:tr w14:paraId="0780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1747" w:type="pct"/>
            <w:noWrap w:val="0"/>
            <w:vAlign w:val="center"/>
          </w:tcPr>
          <w:p w14:paraId="01274EEC">
            <w:pPr>
              <w:pStyle w:val="16"/>
              <w:spacing w:line="400" w:lineRule="atLeast"/>
              <w:jc w:val="center"/>
              <w:rPr>
                <w:rFonts w:hint="eastAsia" w:ascii="新宋体" w:hAnsi="新宋体" w:eastAsia="新宋体" w:cs="宋体"/>
                <w:color w:val="auto"/>
                <w:sz w:val="22"/>
                <w:szCs w:val="22"/>
                <w:highlight w:val="none"/>
              </w:rPr>
            </w:pPr>
            <w:r>
              <w:rPr>
                <w:rFonts w:hint="eastAsia" w:ascii="新宋体" w:hAnsi="新宋体" w:eastAsia="新宋体" w:cs="宋体"/>
                <w:color w:val="auto"/>
                <w:sz w:val="22"/>
                <w:szCs w:val="22"/>
                <w:highlight w:val="none"/>
              </w:rPr>
              <w:t>报价项目</w:t>
            </w:r>
          </w:p>
        </w:tc>
        <w:tc>
          <w:tcPr>
            <w:tcW w:w="2040" w:type="pct"/>
            <w:noWrap w:val="0"/>
            <w:vAlign w:val="center"/>
          </w:tcPr>
          <w:p w14:paraId="04913098">
            <w:pPr>
              <w:pStyle w:val="16"/>
              <w:spacing w:line="400" w:lineRule="atLeast"/>
              <w:jc w:val="center"/>
              <w:rPr>
                <w:rFonts w:hint="eastAsia" w:ascii="新宋体" w:hAnsi="新宋体" w:eastAsia="新宋体" w:cs="宋体"/>
                <w:color w:val="auto"/>
                <w:sz w:val="22"/>
                <w:szCs w:val="22"/>
                <w:highlight w:val="none"/>
                <w:lang w:eastAsia="zh-CN"/>
              </w:rPr>
            </w:pPr>
            <w:r>
              <w:rPr>
                <w:rFonts w:hint="eastAsia" w:ascii="新宋体" w:hAnsi="新宋体" w:eastAsia="新宋体" w:cs="宋体"/>
                <w:color w:val="auto"/>
                <w:sz w:val="22"/>
                <w:szCs w:val="22"/>
                <w:highlight w:val="none"/>
              </w:rPr>
              <w:t>投标</w:t>
            </w:r>
            <w:r>
              <w:rPr>
                <w:rFonts w:hint="eastAsia" w:ascii="新宋体" w:hAnsi="新宋体" w:eastAsia="新宋体" w:cs="宋体"/>
                <w:color w:val="auto"/>
                <w:sz w:val="22"/>
                <w:szCs w:val="22"/>
                <w:highlight w:val="none"/>
                <w:lang w:val="en-US" w:eastAsia="zh-CN"/>
              </w:rPr>
              <w:t>报</w:t>
            </w:r>
            <w:r>
              <w:rPr>
                <w:rFonts w:hint="eastAsia" w:ascii="新宋体" w:hAnsi="新宋体" w:eastAsia="新宋体" w:cs="宋体"/>
                <w:color w:val="auto"/>
                <w:sz w:val="22"/>
                <w:szCs w:val="22"/>
                <w:highlight w:val="none"/>
              </w:rPr>
              <w:t>价</w:t>
            </w:r>
            <w:r>
              <w:rPr>
                <w:rFonts w:hint="eastAsia" w:ascii="新宋体" w:hAnsi="新宋体" w:eastAsia="新宋体" w:cs="宋体"/>
                <w:color w:val="auto"/>
                <w:sz w:val="22"/>
                <w:szCs w:val="22"/>
                <w:highlight w:val="none"/>
                <w:lang w:eastAsia="zh-CN"/>
              </w:rPr>
              <w:t>（</w:t>
            </w:r>
            <w:r>
              <w:rPr>
                <w:rFonts w:hint="eastAsia" w:ascii="新宋体" w:hAnsi="新宋体" w:eastAsia="新宋体" w:cs="宋体"/>
                <w:color w:val="auto"/>
                <w:sz w:val="22"/>
                <w:szCs w:val="22"/>
                <w:highlight w:val="none"/>
                <w:lang w:val="en-US" w:eastAsia="zh-CN"/>
              </w:rPr>
              <w:t>元</w:t>
            </w:r>
            <w:r>
              <w:rPr>
                <w:rFonts w:hint="eastAsia" w:ascii="新宋体" w:hAnsi="新宋体" w:eastAsia="新宋体" w:cs="宋体"/>
                <w:color w:val="auto"/>
                <w:sz w:val="22"/>
                <w:szCs w:val="22"/>
                <w:highlight w:val="none"/>
                <w:lang w:eastAsia="zh-CN"/>
              </w:rPr>
              <w:t>）</w:t>
            </w:r>
          </w:p>
        </w:tc>
        <w:tc>
          <w:tcPr>
            <w:tcW w:w="1212" w:type="pct"/>
            <w:noWrap w:val="0"/>
            <w:vAlign w:val="center"/>
          </w:tcPr>
          <w:p w14:paraId="64F1BDC5">
            <w:pPr>
              <w:pStyle w:val="16"/>
              <w:spacing w:line="400" w:lineRule="atLeast"/>
              <w:jc w:val="center"/>
              <w:rPr>
                <w:rFonts w:hint="default" w:ascii="新宋体" w:hAnsi="新宋体" w:eastAsia="新宋体" w:cs="宋体"/>
                <w:color w:val="auto"/>
                <w:sz w:val="22"/>
                <w:szCs w:val="22"/>
                <w:highlight w:val="none"/>
                <w:lang w:val="en-US" w:eastAsia="zh-CN"/>
              </w:rPr>
            </w:pPr>
            <w:r>
              <w:rPr>
                <w:rFonts w:hint="eastAsia" w:ascii="新宋体" w:hAnsi="新宋体" w:eastAsia="新宋体" w:cs="宋体"/>
                <w:color w:val="auto"/>
                <w:sz w:val="22"/>
                <w:szCs w:val="22"/>
                <w:highlight w:val="none"/>
                <w:lang w:val="en-US" w:eastAsia="zh-CN"/>
              </w:rPr>
              <w:t>备注</w:t>
            </w:r>
          </w:p>
        </w:tc>
      </w:tr>
      <w:tr w14:paraId="5F8C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5" w:hRule="atLeast"/>
        </w:trPr>
        <w:tc>
          <w:tcPr>
            <w:tcW w:w="1747" w:type="pct"/>
            <w:noWrap w:val="0"/>
            <w:vAlign w:val="center"/>
          </w:tcPr>
          <w:p w14:paraId="6AC7D139">
            <w:pPr>
              <w:autoSpaceDE w:val="0"/>
              <w:autoSpaceDN w:val="0"/>
              <w:adjustRightInd w:val="0"/>
              <w:spacing w:line="300" w:lineRule="auto"/>
              <w:jc w:val="center"/>
              <w:rPr>
                <w:rFonts w:hint="eastAsia" w:ascii="新宋体" w:hAnsi="新宋体" w:eastAsia="新宋体" w:cs="宋体"/>
                <w:color w:val="auto"/>
                <w:sz w:val="22"/>
                <w:szCs w:val="22"/>
                <w:highlight w:val="none"/>
                <w:lang w:eastAsia="zh-CN"/>
              </w:rPr>
            </w:pPr>
          </w:p>
        </w:tc>
        <w:tc>
          <w:tcPr>
            <w:tcW w:w="2040" w:type="pct"/>
            <w:noWrap w:val="0"/>
            <w:vAlign w:val="center"/>
          </w:tcPr>
          <w:p w14:paraId="445E88D8">
            <w:pPr>
              <w:pStyle w:val="23"/>
              <w:spacing w:line="400" w:lineRule="atLeast"/>
              <w:rPr>
                <w:rFonts w:hint="eastAsia" w:ascii="新宋体" w:hAnsi="新宋体" w:eastAsia="新宋体" w:cs="宋体"/>
                <w:color w:val="auto"/>
                <w:sz w:val="22"/>
                <w:szCs w:val="22"/>
                <w:highlight w:val="none"/>
              </w:rPr>
            </w:pPr>
          </w:p>
        </w:tc>
        <w:tc>
          <w:tcPr>
            <w:tcW w:w="1212" w:type="pct"/>
            <w:noWrap w:val="0"/>
            <w:vAlign w:val="center"/>
          </w:tcPr>
          <w:p w14:paraId="6A3D42BF">
            <w:pPr>
              <w:pStyle w:val="23"/>
              <w:spacing w:line="400" w:lineRule="atLeast"/>
              <w:jc w:val="center"/>
              <w:rPr>
                <w:rFonts w:hint="default" w:ascii="新宋体" w:hAnsi="新宋体" w:eastAsia="新宋体" w:cs="宋体"/>
                <w:color w:val="auto"/>
                <w:sz w:val="22"/>
                <w:szCs w:val="22"/>
                <w:highlight w:val="none"/>
                <w:lang w:val="en-US" w:eastAsia="zh-CN"/>
              </w:rPr>
            </w:pPr>
          </w:p>
        </w:tc>
      </w:tr>
    </w:tbl>
    <w:p w14:paraId="36859904">
      <w:pPr>
        <w:overflowPunct w:val="0"/>
        <w:spacing w:line="380" w:lineRule="exact"/>
        <w:rPr>
          <w:rFonts w:hint="eastAsia" w:ascii="新宋体" w:hAnsi="新宋体" w:eastAsia="新宋体" w:cs="新宋体"/>
          <w:bCs/>
          <w:color w:val="auto"/>
          <w:sz w:val="22"/>
          <w:szCs w:val="22"/>
          <w:highlight w:val="none"/>
        </w:rPr>
      </w:pPr>
    </w:p>
    <w:p w14:paraId="6A475A01">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说明：</w:t>
      </w:r>
    </w:p>
    <w:p w14:paraId="4E54D86A">
      <w:pPr>
        <w:numPr>
          <w:ilvl w:val="0"/>
          <w:numId w:val="20"/>
        </w:numPr>
        <w:autoSpaceDE w:val="0"/>
        <w:autoSpaceDN w:val="0"/>
        <w:adjustRightInd w:val="0"/>
        <w:spacing w:line="380" w:lineRule="atLeast"/>
        <w:rPr>
          <w:rFonts w:ascii="宋体" w:cs="宋体"/>
          <w:b/>
          <w:bCs/>
          <w:color w:val="auto"/>
          <w:sz w:val="22"/>
          <w:szCs w:val="22"/>
          <w:highlight w:val="none"/>
        </w:rPr>
      </w:pPr>
      <w:r>
        <w:rPr>
          <w:rFonts w:hint="eastAsia" w:ascii="新宋体" w:hAnsi="新宋体" w:eastAsia="新宋体" w:cs="新宋体"/>
          <w:color w:val="auto"/>
          <w:kern w:val="0"/>
          <w:sz w:val="22"/>
          <w:szCs w:val="22"/>
          <w:highlight w:val="none"/>
          <w:lang w:val="zh-CN"/>
        </w:rPr>
        <w:t>此栏内“投标</w:t>
      </w:r>
      <w:r>
        <w:rPr>
          <w:rFonts w:hint="eastAsia" w:ascii="新宋体" w:hAnsi="新宋体" w:eastAsia="新宋体" w:cs="新宋体"/>
          <w:color w:val="auto"/>
          <w:kern w:val="0"/>
          <w:sz w:val="22"/>
          <w:szCs w:val="22"/>
          <w:highlight w:val="none"/>
          <w:lang w:val="en-US" w:eastAsia="zh-CN"/>
        </w:rPr>
        <w:t>报价</w:t>
      </w:r>
      <w:r>
        <w:rPr>
          <w:rFonts w:hint="eastAsia" w:ascii="新宋体" w:hAnsi="新宋体" w:eastAsia="新宋体" w:cs="新宋体"/>
          <w:color w:val="auto"/>
          <w:kern w:val="0"/>
          <w:sz w:val="22"/>
          <w:szCs w:val="22"/>
          <w:highlight w:val="none"/>
          <w:lang w:val="zh-CN"/>
        </w:rPr>
        <w:t>”应与附件</w:t>
      </w:r>
      <w:r>
        <w:rPr>
          <w:rFonts w:hint="eastAsia" w:ascii="新宋体" w:hAnsi="新宋体" w:eastAsia="新宋体" w:cs="新宋体"/>
          <w:color w:val="auto"/>
          <w:kern w:val="0"/>
          <w:sz w:val="22"/>
          <w:szCs w:val="22"/>
          <w:highlight w:val="none"/>
          <w:lang w:val="en-US" w:eastAsia="zh-CN"/>
        </w:rPr>
        <w:t>七</w:t>
      </w:r>
      <w:r>
        <w:rPr>
          <w:rFonts w:ascii="新宋体" w:hAnsi="新宋体" w:eastAsia="新宋体" w:cs="新宋体"/>
          <w:color w:val="auto"/>
          <w:kern w:val="0"/>
          <w:sz w:val="22"/>
          <w:szCs w:val="22"/>
          <w:highlight w:val="none"/>
          <w:lang w:val="zh-CN"/>
        </w:rPr>
        <w:t>“</w:t>
      </w:r>
      <w:r>
        <w:rPr>
          <w:rFonts w:hint="eastAsia" w:ascii="新宋体" w:hAnsi="新宋体" w:eastAsia="新宋体" w:cs="新宋体"/>
          <w:color w:val="auto"/>
          <w:kern w:val="0"/>
          <w:sz w:val="22"/>
          <w:szCs w:val="22"/>
          <w:highlight w:val="none"/>
          <w:lang w:val="zh-CN"/>
        </w:rPr>
        <w:t>投标分项报价表</w:t>
      </w:r>
      <w:r>
        <w:rPr>
          <w:rFonts w:ascii="新宋体" w:hAnsi="新宋体" w:eastAsia="新宋体" w:cs="新宋体"/>
          <w:color w:val="auto"/>
          <w:kern w:val="0"/>
          <w:sz w:val="22"/>
          <w:szCs w:val="22"/>
          <w:highlight w:val="none"/>
          <w:lang w:val="zh-CN"/>
        </w:rPr>
        <w:t>”</w:t>
      </w:r>
      <w:r>
        <w:rPr>
          <w:rFonts w:hint="eastAsia" w:ascii="新宋体" w:hAnsi="新宋体" w:eastAsia="新宋体" w:cs="新宋体"/>
          <w:color w:val="auto"/>
          <w:kern w:val="0"/>
          <w:sz w:val="22"/>
          <w:szCs w:val="22"/>
          <w:highlight w:val="none"/>
          <w:lang w:val="zh-CN"/>
        </w:rPr>
        <w:t>中“</w:t>
      </w:r>
      <w:r>
        <w:rPr>
          <w:rFonts w:hint="eastAsia" w:ascii="新宋体" w:hAnsi="新宋体" w:eastAsia="新宋体" w:cs="新宋体"/>
          <w:color w:val="auto"/>
          <w:kern w:val="0"/>
          <w:sz w:val="22"/>
          <w:szCs w:val="22"/>
          <w:highlight w:val="none"/>
        </w:rPr>
        <w:t>总计</w:t>
      </w:r>
      <w:r>
        <w:rPr>
          <w:rFonts w:hint="eastAsia" w:ascii="新宋体" w:hAnsi="新宋体" w:eastAsia="新宋体" w:cs="新宋体"/>
          <w:color w:val="auto"/>
          <w:kern w:val="0"/>
          <w:sz w:val="22"/>
          <w:szCs w:val="22"/>
          <w:highlight w:val="none"/>
          <w:lang w:val="zh-CN"/>
        </w:rPr>
        <w:t>价”相一致。</w:t>
      </w:r>
    </w:p>
    <w:p w14:paraId="27FF449C">
      <w:pPr>
        <w:numPr>
          <w:ilvl w:val="0"/>
          <w:numId w:val="20"/>
        </w:numPr>
        <w:overflowPunct w:val="0"/>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kern w:val="0"/>
          <w:sz w:val="22"/>
          <w:szCs w:val="22"/>
          <w:highlight w:val="none"/>
          <w:u w:val="single"/>
          <w:lang w:val="zh-CN"/>
        </w:rPr>
        <w:t>不提供此表格将被视为没有实质性响应采购文件</w:t>
      </w:r>
      <w:r>
        <w:rPr>
          <w:rFonts w:ascii="新宋体" w:hAnsi="新宋体" w:eastAsia="新宋体" w:cs="新宋体"/>
          <w:b/>
          <w:bCs/>
          <w:color w:val="auto"/>
          <w:kern w:val="0"/>
          <w:sz w:val="22"/>
          <w:szCs w:val="22"/>
          <w:highlight w:val="none"/>
          <w:u w:val="single"/>
          <w:lang w:val="zh-CN"/>
        </w:rPr>
        <w:t>,</w:t>
      </w:r>
      <w:r>
        <w:rPr>
          <w:rFonts w:hint="eastAsia" w:ascii="新宋体" w:hAnsi="新宋体" w:eastAsia="新宋体" w:cs="新宋体"/>
          <w:b/>
          <w:bCs/>
          <w:color w:val="auto"/>
          <w:kern w:val="0"/>
          <w:sz w:val="22"/>
          <w:szCs w:val="22"/>
          <w:highlight w:val="none"/>
          <w:u w:val="single"/>
          <w:lang w:val="zh-CN"/>
        </w:rPr>
        <w:t>其投标文件将被拒绝。</w:t>
      </w:r>
    </w:p>
    <w:p w14:paraId="06F7CFF2">
      <w:pPr>
        <w:overflowPunct w:val="0"/>
        <w:spacing w:line="460" w:lineRule="exact"/>
        <w:rPr>
          <w:rFonts w:hint="eastAsia" w:ascii="新宋体" w:hAnsi="新宋体" w:eastAsia="新宋体" w:cs="新宋体"/>
          <w:b/>
          <w:color w:val="auto"/>
          <w:sz w:val="22"/>
          <w:szCs w:val="22"/>
          <w:highlight w:val="none"/>
        </w:rPr>
      </w:pPr>
    </w:p>
    <w:p w14:paraId="6BF11E06">
      <w:pPr>
        <w:overflowPunct w:val="0"/>
        <w:spacing w:line="460" w:lineRule="exact"/>
        <w:rPr>
          <w:rFonts w:hint="eastAsia" w:ascii="新宋体" w:hAnsi="新宋体" w:eastAsia="新宋体" w:cs="新宋体"/>
          <w:color w:val="auto"/>
          <w:sz w:val="22"/>
          <w:szCs w:val="22"/>
          <w:highlight w:val="none"/>
        </w:rPr>
      </w:pPr>
    </w:p>
    <w:p w14:paraId="1C19C557">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14:paraId="23B46982">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法定代表人或授权代表（签名或盖章）：</w:t>
      </w:r>
    </w:p>
    <w:p w14:paraId="5B405DF7">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4F61C058">
      <w:pPr>
        <w:overflowPunct w:val="0"/>
        <w:spacing w:line="460" w:lineRule="exact"/>
        <w:rPr>
          <w:rFonts w:hint="eastAsia" w:ascii="新宋体" w:hAnsi="新宋体" w:eastAsia="新宋体" w:cs="新宋体"/>
          <w:color w:val="auto"/>
          <w:sz w:val="22"/>
          <w:szCs w:val="22"/>
          <w:highlight w:val="none"/>
        </w:rPr>
      </w:pPr>
    </w:p>
    <w:p w14:paraId="741CD438">
      <w:pPr>
        <w:overflowPunct w:val="0"/>
        <w:spacing w:line="380" w:lineRule="exact"/>
        <w:ind w:firstLine="9460" w:firstLineChars="4300"/>
        <w:rPr>
          <w:rFonts w:hint="eastAsia" w:ascii="新宋体" w:hAnsi="新宋体" w:eastAsia="新宋体" w:cs="新宋体"/>
          <w:color w:val="auto"/>
          <w:sz w:val="22"/>
          <w:szCs w:val="22"/>
          <w:highlight w:val="none"/>
        </w:rPr>
      </w:pPr>
    </w:p>
    <w:p w14:paraId="110669E6">
      <w:pPr>
        <w:spacing w:line="38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14:paraId="3E195247">
      <w:pPr>
        <w:spacing w:line="380" w:lineRule="exact"/>
        <w:jc w:val="lef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附件七</w:t>
      </w:r>
    </w:p>
    <w:p w14:paraId="6C7650B2">
      <w:pPr>
        <w:spacing w:line="38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投标分项报价表</w:t>
      </w:r>
    </w:p>
    <w:p w14:paraId="1202B3E1">
      <w:pPr>
        <w:spacing w:line="380" w:lineRule="exact"/>
        <w:rPr>
          <w:rFonts w:eastAsia="新宋体"/>
          <w:b/>
          <w:color w:val="auto"/>
          <w:sz w:val="22"/>
          <w:highlight w:val="none"/>
        </w:rPr>
      </w:pPr>
      <w:r>
        <w:rPr>
          <w:rFonts w:hint="eastAsia" w:eastAsia="新宋体"/>
          <w:b/>
          <w:color w:val="auto"/>
          <w:sz w:val="22"/>
          <w:highlight w:val="none"/>
        </w:rPr>
        <w:t xml:space="preserve">项目名称：                              项目编号：       </w:t>
      </w:r>
      <w:r>
        <w:rPr>
          <w:rFonts w:hint="eastAsia" w:eastAsia="新宋体"/>
          <w:b/>
          <w:color w:val="auto"/>
          <w:sz w:val="22"/>
          <w:highlight w:val="none"/>
          <w:lang w:val="en-US" w:eastAsia="zh-CN"/>
        </w:rPr>
        <w:t xml:space="preserve">       </w:t>
      </w:r>
      <w:r>
        <w:rPr>
          <w:rFonts w:hint="eastAsia" w:eastAsia="新宋体"/>
          <w:b/>
          <w:color w:val="auto"/>
          <w:sz w:val="22"/>
          <w:highlight w:val="none"/>
        </w:rPr>
        <w:t xml:space="preserve">  价格单位：元</w:t>
      </w:r>
    </w:p>
    <w:tbl>
      <w:tblPr>
        <w:tblStyle w:val="26"/>
        <w:tblW w:w="0" w:type="auto"/>
        <w:tblInd w:w="0" w:type="dxa"/>
        <w:tblLayout w:type="fixed"/>
        <w:tblCellMar>
          <w:top w:w="0" w:type="dxa"/>
          <w:left w:w="108" w:type="dxa"/>
          <w:bottom w:w="0" w:type="dxa"/>
          <w:right w:w="108" w:type="dxa"/>
        </w:tblCellMar>
      </w:tblPr>
      <w:tblGrid>
        <w:gridCol w:w="437"/>
        <w:gridCol w:w="3254"/>
        <w:gridCol w:w="1243"/>
        <w:gridCol w:w="973"/>
        <w:gridCol w:w="1567"/>
        <w:gridCol w:w="1180"/>
        <w:gridCol w:w="1198"/>
      </w:tblGrid>
      <w:tr w14:paraId="42DA80DE">
        <w:tblPrEx>
          <w:tblCellMar>
            <w:top w:w="0" w:type="dxa"/>
            <w:left w:w="108" w:type="dxa"/>
            <w:bottom w:w="0" w:type="dxa"/>
            <w:right w:w="108" w:type="dxa"/>
          </w:tblCellMar>
        </w:tblPrEx>
        <w:trPr>
          <w:trHeight w:val="1310" w:hRule="exact"/>
        </w:trPr>
        <w:tc>
          <w:tcPr>
            <w:tcW w:w="437" w:type="dxa"/>
            <w:tcBorders>
              <w:top w:val="single" w:color="000000" w:sz="12" w:space="0"/>
              <w:left w:val="single" w:color="000000" w:sz="12" w:space="0"/>
              <w:bottom w:val="single" w:color="000000" w:sz="2" w:space="0"/>
              <w:right w:val="single" w:color="000000" w:sz="2" w:space="0"/>
            </w:tcBorders>
            <w:noWrap w:val="0"/>
            <w:vAlign w:val="center"/>
          </w:tcPr>
          <w:p w14:paraId="4E37D7F4">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序号</w:t>
            </w:r>
          </w:p>
          <w:p w14:paraId="134993AD">
            <w:pPr>
              <w:spacing w:line="400" w:lineRule="exact"/>
              <w:jc w:val="center"/>
              <w:rPr>
                <w:rFonts w:hint="eastAsia" w:ascii="宋体" w:hAnsi="宋体" w:eastAsia="宋体" w:cs="宋体"/>
                <w:color w:val="auto"/>
                <w:kern w:val="1"/>
                <w:sz w:val="22"/>
                <w:szCs w:val="22"/>
                <w:highlight w:val="none"/>
              </w:rPr>
            </w:pPr>
          </w:p>
        </w:tc>
        <w:tc>
          <w:tcPr>
            <w:tcW w:w="3254" w:type="dxa"/>
            <w:tcBorders>
              <w:top w:val="single" w:color="000000" w:sz="12" w:space="0"/>
              <w:left w:val="single" w:color="000000" w:sz="2" w:space="0"/>
              <w:bottom w:val="single" w:color="000000" w:sz="2" w:space="0"/>
              <w:right w:val="single" w:color="000000" w:sz="2" w:space="0"/>
            </w:tcBorders>
            <w:noWrap w:val="0"/>
            <w:vAlign w:val="center"/>
          </w:tcPr>
          <w:p w14:paraId="42A42750">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项目内容</w:t>
            </w:r>
          </w:p>
        </w:tc>
        <w:tc>
          <w:tcPr>
            <w:tcW w:w="1243" w:type="dxa"/>
            <w:tcBorders>
              <w:top w:val="single" w:color="000000" w:sz="12" w:space="0"/>
              <w:left w:val="single" w:color="000000" w:sz="2" w:space="0"/>
              <w:bottom w:val="single" w:color="000000" w:sz="2" w:space="0"/>
              <w:right w:val="single" w:color="000000" w:sz="2" w:space="0"/>
            </w:tcBorders>
            <w:noWrap w:val="0"/>
            <w:vAlign w:val="center"/>
          </w:tcPr>
          <w:p w14:paraId="45C4F25A">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lang w:val="en-US" w:eastAsia="zh-CN"/>
              </w:rPr>
              <w:t>品牌、</w:t>
            </w:r>
            <w:r>
              <w:rPr>
                <w:rFonts w:hint="eastAsia" w:ascii="宋体" w:hAnsi="宋体" w:eastAsia="宋体" w:cs="宋体"/>
                <w:color w:val="auto"/>
                <w:kern w:val="1"/>
                <w:sz w:val="22"/>
                <w:szCs w:val="22"/>
                <w:highlight w:val="none"/>
              </w:rPr>
              <w:t>型号</w:t>
            </w:r>
            <w:r>
              <w:rPr>
                <w:rFonts w:hint="eastAsia" w:ascii="宋体" w:hAnsi="宋体" w:eastAsia="宋体" w:cs="宋体"/>
                <w:color w:val="auto"/>
                <w:kern w:val="1"/>
                <w:sz w:val="22"/>
                <w:szCs w:val="22"/>
                <w:highlight w:val="none"/>
                <w:lang w:eastAsia="zh-CN"/>
              </w:rPr>
              <w:t>、</w:t>
            </w:r>
            <w:r>
              <w:rPr>
                <w:rFonts w:hint="eastAsia" w:ascii="宋体" w:hAnsi="宋体" w:eastAsia="宋体" w:cs="宋体"/>
                <w:color w:val="auto"/>
                <w:kern w:val="1"/>
                <w:sz w:val="22"/>
                <w:szCs w:val="22"/>
                <w:highlight w:val="none"/>
              </w:rPr>
              <w:t>规格</w:t>
            </w:r>
          </w:p>
        </w:tc>
        <w:tc>
          <w:tcPr>
            <w:tcW w:w="973" w:type="dxa"/>
            <w:tcBorders>
              <w:top w:val="single" w:color="000000" w:sz="12" w:space="0"/>
              <w:left w:val="single" w:color="000000" w:sz="2" w:space="0"/>
              <w:bottom w:val="single" w:color="000000" w:sz="2" w:space="0"/>
              <w:right w:val="single" w:color="000000" w:sz="2" w:space="0"/>
            </w:tcBorders>
            <w:noWrap w:val="0"/>
            <w:vAlign w:val="center"/>
          </w:tcPr>
          <w:p w14:paraId="2EC08742">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数量</w:t>
            </w:r>
          </w:p>
        </w:tc>
        <w:tc>
          <w:tcPr>
            <w:tcW w:w="1567" w:type="dxa"/>
            <w:tcBorders>
              <w:top w:val="single" w:color="000000" w:sz="12" w:space="0"/>
              <w:left w:val="single" w:color="000000" w:sz="2" w:space="0"/>
              <w:bottom w:val="single" w:color="000000" w:sz="2" w:space="0"/>
              <w:right w:val="single" w:color="000000" w:sz="2" w:space="0"/>
            </w:tcBorders>
            <w:noWrap w:val="0"/>
            <w:vAlign w:val="center"/>
          </w:tcPr>
          <w:p w14:paraId="6E2FCD96">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制造厂商名称</w:t>
            </w:r>
          </w:p>
        </w:tc>
        <w:tc>
          <w:tcPr>
            <w:tcW w:w="1180" w:type="dxa"/>
            <w:tcBorders>
              <w:top w:val="single" w:color="000000" w:sz="12" w:space="0"/>
              <w:left w:val="single" w:color="000000" w:sz="2" w:space="0"/>
              <w:bottom w:val="single" w:color="000000" w:sz="2" w:space="0"/>
              <w:right w:val="single" w:color="000000" w:sz="2" w:space="0"/>
            </w:tcBorders>
            <w:noWrap w:val="0"/>
            <w:vAlign w:val="center"/>
          </w:tcPr>
          <w:p w14:paraId="507B2D7B">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单价（元）</w:t>
            </w:r>
          </w:p>
        </w:tc>
        <w:tc>
          <w:tcPr>
            <w:tcW w:w="1198" w:type="dxa"/>
            <w:tcBorders>
              <w:top w:val="single" w:color="000000" w:sz="12" w:space="0"/>
              <w:left w:val="single" w:color="000000" w:sz="2" w:space="0"/>
              <w:bottom w:val="single" w:color="000000" w:sz="2" w:space="0"/>
              <w:right w:val="single" w:color="000000" w:sz="12" w:space="0"/>
            </w:tcBorders>
            <w:noWrap w:val="0"/>
            <w:vAlign w:val="center"/>
          </w:tcPr>
          <w:p w14:paraId="6FFFF2EC">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合价（元）</w:t>
            </w:r>
          </w:p>
        </w:tc>
      </w:tr>
      <w:tr w14:paraId="7C25BEB6">
        <w:tblPrEx>
          <w:tblCellMar>
            <w:top w:w="0" w:type="dxa"/>
            <w:left w:w="108" w:type="dxa"/>
            <w:bottom w:w="0" w:type="dxa"/>
            <w:right w:w="108" w:type="dxa"/>
          </w:tblCellMar>
        </w:tblPrEx>
        <w:trPr>
          <w:trHeight w:val="894" w:hRule="exact"/>
        </w:trPr>
        <w:tc>
          <w:tcPr>
            <w:tcW w:w="437" w:type="dxa"/>
            <w:tcBorders>
              <w:top w:val="single" w:color="000000" w:sz="2" w:space="0"/>
              <w:left w:val="single" w:color="000000" w:sz="12" w:space="0"/>
              <w:bottom w:val="single" w:color="000000" w:sz="2" w:space="0"/>
              <w:right w:val="single" w:color="000000" w:sz="2" w:space="0"/>
            </w:tcBorders>
            <w:noWrap w:val="0"/>
            <w:vAlign w:val="center"/>
          </w:tcPr>
          <w:p w14:paraId="2D238E05">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1</w:t>
            </w:r>
          </w:p>
        </w:tc>
        <w:tc>
          <w:tcPr>
            <w:tcW w:w="3254" w:type="dxa"/>
            <w:tcBorders>
              <w:top w:val="single" w:color="000000" w:sz="2" w:space="0"/>
              <w:left w:val="single" w:color="000000" w:sz="2" w:space="0"/>
              <w:bottom w:val="single" w:color="auto" w:sz="4" w:space="0"/>
              <w:right w:val="single" w:color="000000" w:sz="2" w:space="0"/>
            </w:tcBorders>
            <w:noWrap w:val="0"/>
            <w:vAlign w:val="center"/>
          </w:tcPr>
          <w:p w14:paraId="68D678FE">
            <w:pPr>
              <w:spacing w:line="400" w:lineRule="exact"/>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产品和标准附件 (含税)（按</w:t>
            </w:r>
            <w:r>
              <w:rPr>
                <w:rFonts w:hint="eastAsia" w:ascii="宋体" w:hAnsi="宋体" w:eastAsia="宋体" w:cs="宋体"/>
                <w:color w:val="auto"/>
                <w:kern w:val="1"/>
                <w:sz w:val="22"/>
                <w:szCs w:val="22"/>
                <w:highlight w:val="none"/>
                <w:lang w:val="en-US" w:eastAsia="zh-CN"/>
              </w:rPr>
              <w:t>产品</w:t>
            </w:r>
            <w:r>
              <w:rPr>
                <w:rFonts w:hint="eastAsia" w:ascii="宋体" w:hAnsi="宋体" w:eastAsia="宋体" w:cs="宋体"/>
                <w:color w:val="auto"/>
                <w:kern w:val="1"/>
                <w:sz w:val="22"/>
                <w:szCs w:val="22"/>
                <w:highlight w:val="none"/>
              </w:rPr>
              <w:t>清单逐项列出）</w:t>
            </w:r>
          </w:p>
        </w:tc>
        <w:tc>
          <w:tcPr>
            <w:tcW w:w="1243" w:type="dxa"/>
            <w:tcBorders>
              <w:top w:val="single" w:color="000000" w:sz="2" w:space="0"/>
              <w:left w:val="single" w:color="000000" w:sz="2" w:space="0"/>
              <w:bottom w:val="single" w:color="000000" w:sz="2" w:space="0"/>
              <w:right w:val="single" w:color="000000" w:sz="2" w:space="0"/>
            </w:tcBorders>
            <w:noWrap w:val="0"/>
            <w:vAlign w:val="center"/>
          </w:tcPr>
          <w:p w14:paraId="2CBB2400">
            <w:pPr>
              <w:spacing w:line="400" w:lineRule="exact"/>
              <w:jc w:val="center"/>
              <w:rPr>
                <w:rFonts w:hint="eastAsia" w:ascii="宋体" w:hAnsi="宋体" w:eastAsia="宋体" w:cs="宋体"/>
                <w:color w:val="auto"/>
                <w:kern w:val="1"/>
                <w:sz w:val="22"/>
                <w:szCs w:val="22"/>
                <w:highlight w:val="none"/>
              </w:rPr>
            </w:pPr>
          </w:p>
        </w:tc>
        <w:tc>
          <w:tcPr>
            <w:tcW w:w="973" w:type="dxa"/>
            <w:tcBorders>
              <w:top w:val="single" w:color="000000" w:sz="2" w:space="0"/>
              <w:left w:val="single" w:color="000000" w:sz="2" w:space="0"/>
              <w:bottom w:val="single" w:color="000000" w:sz="2" w:space="0"/>
              <w:right w:val="single" w:color="000000" w:sz="2" w:space="0"/>
            </w:tcBorders>
            <w:noWrap w:val="0"/>
            <w:vAlign w:val="center"/>
          </w:tcPr>
          <w:p w14:paraId="078468DD">
            <w:pPr>
              <w:spacing w:line="400" w:lineRule="exact"/>
              <w:jc w:val="center"/>
              <w:rPr>
                <w:rFonts w:hint="eastAsia" w:ascii="宋体" w:hAnsi="宋体" w:eastAsia="宋体" w:cs="宋体"/>
                <w:color w:val="auto"/>
                <w:kern w:val="1"/>
                <w:sz w:val="22"/>
                <w:szCs w:val="22"/>
                <w:highlight w:val="none"/>
              </w:rPr>
            </w:pPr>
          </w:p>
        </w:tc>
        <w:tc>
          <w:tcPr>
            <w:tcW w:w="1567" w:type="dxa"/>
            <w:tcBorders>
              <w:top w:val="single" w:color="000000" w:sz="2" w:space="0"/>
              <w:left w:val="single" w:color="000000" w:sz="2" w:space="0"/>
              <w:bottom w:val="single" w:color="000000" w:sz="2" w:space="0"/>
              <w:right w:val="single" w:color="000000" w:sz="2" w:space="0"/>
            </w:tcBorders>
            <w:noWrap w:val="0"/>
            <w:vAlign w:val="center"/>
          </w:tcPr>
          <w:p w14:paraId="4FF6C62E">
            <w:pPr>
              <w:spacing w:line="400" w:lineRule="exact"/>
              <w:jc w:val="center"/>
              <w:rPr>
                <w:rFonts w:hint="eastAsia" w:ascii="宋体" w:hAnsi="宋体" w:eastAsia="宋体" w:cs="宋体"/>
                <w:color w:val="auto"/>
                <w:kern w:val="1"/>
                <w:sz w:val="22"/>
                <w:szCs w:val="22"/>
                <w:highlight w:val="none"/>
              </w:rPr>
            </w:pPr>
          </w:p>
        </w:tc>
        <w:tc>
          <w:tcPr>
            <w:tcW w:w="1180" w:type="dxa"/>
            <w:tcBorders>
              <w:top w:val="single" w:color="000000" w:sz="2" w:space="0"/>
              <w:left w:val="single" w:color="000000" w:sz="2" w:space="0"/>
              <w:bottom w:val="single" w:color="000000" w:sz="2" w:space="0"/>
              <w:right w:val="single" w:color="000000" w:sz="2" w:space="0"/>
            </w:tcBorders>
            <w:noWrap w:val="0"/>
            <w:vAlign w:val="center"/>
          </w:tcPr>
          <w:p w14:paraId="302F22D3">
            <w:pPr>
              <w:spacing w:line="400" w:lineRule="exact"/>
              <w:jc w:val="center"/>
              <w:rPr>
                <w:rFonts w:hint="eastAsia" w:ascii="宋体" w:hAnsi="宋体" w:eastAsia="宋体" w:cs="宋体"/>
                <w:color w:val="auto"/>
                <w:kern w:val="1"/>
                <w:sz w:val="22"/>
                <w:szCs w:val="22"/>
                <w:highlight w:val="none"/>
              </w:rPr>
            </w:pPr>
          </w:p>
        </w:tc>
        <w:tc>
          <w:tcPr>
            <w:tcW w:w="1198" w:type="dxa"/>
            <w:tcBorders>
              <w:top w:val="single" w:color="000000" w:sz="2" w:space="0"/>
              <w:left w:val="single" w:color="000000" w:sz="2" w:space="0"/>
              <w:bottom w:val="single" w:color="000000" w:sz="2" w:space="0"/>
              <w:right w:val="single" w:color="000000" w:sz="12" w:space="0"/>
            </w:tcBorders>
            <w:noWrap w:val="0"/>
            <w:vAlign w:val="center"/>
          </w:tcPr>
          <w:p w14:paraId="4113EE18">
            <w:pPr>
              <w:spacing w:line="400" w:lineRule="exact"/>
              <w:jc w:val="center"/>
              <w:rPr>
                <w:rFonts w:hint="eastAsia" w:ascii="宋体" w:hAnsi="宋体" w:eastAsia="宋体" w:cs="宋体"/>
                <w:color w:val="auto"/>
                <w:kern w:val="1"/>
                <w:sz w:val="22"/>
                <w:szCs w:val="22"/>
                <w:highlight w:val="none"/>
              </w:rPr>
            </w:pPr>
          </w:p>
        </w:tc>
      </w:tr>
      <w:tr w14:paraId="32DF4FB4">
        <w:tblPrEx>
          <w:tblCellMar>
            <w:top w:w="0" w:type="dxa"/>
            <w:left w:w="108" w:type="dxa"/>
            <w:bottom w:w="0" w:type="dxa"/>
            <w:right w:w="108" w:type="dxa"/>
          </w:tblCellMar>
        </w:tblPrEx>
        <w:trPr>
          <w:trHeight w:val="968" w:hRule="exact"/>
        </w:trPr>
        <w:tc>
          <w:tcPr>
            <w:tcW w:w="437" w:type="dxa"/>
            <w:tcBorders>
              <w:top w:val="single" w:color="000000" w:sz="2" w:space="0"/>
              <w:left w:val="single" w:color="000000" w:sz="12" w:space="0"/>
              <w:bottom w:val="single" w:color="000000" w:sz="2" w:space="0"/>
              <w:right w:val="single" w:color="000000" w:sz="2" w:space="0"/>
            </w:tcBorders>
            <w:noWrap w:val="0"/>
            <w:vAlign w:val="center"/>
          </w:tcPr>
          <w:p w14:paraId="569BB267">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2</w:t>
            </w:r>
          </w:p>
        </w:tc>
        <w:tc>
          <w:tcPr>
            <w:tcW w:w="3254" w:type="dxa"/>
            <w:tcBorders>
              <w:top w:val="single" w:color="auto" w:sz="4" w:space="0"/>
              <w:left w:val="single" w:color="000000" w:sz="2" w:space="0"/>
              <w:bottom w:val="single" w:color="000000" w:sz="2" w:space="0"/>
              <w:right w:val="single" w:color="000000" w:sz="2" w:space="0"/>
            </w:tcBorders>
            <w:noWrap w:val="0"/>
            <w:vAlign w:val="center"/>
          </w:tcPr>
          <w:p w14:paraId="2C5AF2B9">
            <w:pPr>
              <w:spacing w:line="400" w:lineRule="exact"/>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随机备品备件、耗材、专用工具（如有）</w:t>
            </w:r>
          </w:p>
        </w:tc>
        <w:tc>
          <w:tcPr>
            <w:tcW w:w="6161" w:type="dxa"/>
            <w:gridSpan w:val="5"/>
            <w:tcBorders>
              <w:top w:val="single" w:color="000000" w:sz="2" w:space="0"/>
              <w:left w:val="single" w:color="000000" w:sz="2" w:space="0"/>
              <w:bottom w:val="single" w:color="000000" w:sz="2" w:space="0"/>
              <w:right w:val="single" w:color="000000" w:sz="12" w:space="0"/>
            </w:tcBorders>
            <w:noWrap w:val="0"/>
            <w:vAlign w:val="center"/>
          </w:tcPr>
          <w:p w14:paraId="3ADDD20B">
            <w:pPr>
              <w:spacing w:line="400" w:lineRule="exact"/>
              <w:jc w:val="center"/>
              <w:rPr>
                <w:rFonts w:hint="eastAsia" w:ascii="宋体" w:hAnsi="宋体" w:eastAsia="宋体" w:cs="宋体"/>
                <w:color w:val="auto"/>
                <w:kern w:val="1"/>
                <w:sz w:val="22"/>
                <w:szCs w:val="22"/>
                <w:highlight w:val="none"/>
                <w:lang w:val="en-US" w:eastAsia="zh-CN"/>
              </w:rPr>
            </w:pPr>
            <w:r>
              <w:rPr>
                <w:rFonts w:hint="eastAsia" w:ascii="宋体" w:hAnsi="宋体" w:eastAsia="宋体" w:cs="宋体"/>
                <w:color w:val="auto"/>
                <w:kern w:val="1"/>
                <w:sz w:val="22"/>
                <w:szCs w:val="22"/>
                <w:highlight w:val="none"/>
                <w:lang w:val="en-US" w:eastAsia="zh-CN"/>
              </w:rPr>
              <w:t>含</w:t>
            </w:r>
          </w:p>
        </w:tc>
      </w:tr>
      <w:tr w14:paraId="65A56A61">
        <w:tblPrEx>
          <w:tblCellMar>
            <w:top w:w="0" w:type="dxa"/>
            <w:left w:w="108" w:type="dxa"/>
            <w:bottom w:w="0" w:type="dxa"/>
            <w:right w:w="108" w:type="dxa"/>
          </w:tblCellMar>
        </w:tblPrEx>
        <w:trPr>
          <w:trHeight w:val="936" w:hRule="exact"/>
        </w:trPr>
        <w:tc>
          <w:tcPr>
            <w:tcW w:w="437" w:type="dxa"/>
            <w:tcBorders>
              <w:top w:val="single" w:color="000000" w:sz="2" w:space="0"/>
              <w:left w:val="single" w:color="000000" w:sz="12" w:space="0"/>
              <w:bottom w:val="single" w:color="000000" w:sz="2" w:space="0"/>
              <w:right w:val="single" w:color="000000" w:sz="2" w:space="0"/>
            </w:tcBorders>
            <w:noWrap w:val="0"/>
            <w:vAlign w:val="center"/>
          </w:tcPr>
          <w:p w14:paraId="414BB0B9">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3</w:t>
            </w:r>
          </w:p>
        </w:tc>
        <w:tc>
          <w:tcPr>
            <w:tcW w:w="3254" w:type="dxa"/>
            <w:tcBorders>
              <w:top w:val="single" w:color="000000" w:sz="2" w:space="0"/>
              <w:left w:val="single" w:color="000000" w:sz="2" w:space="0"/>
              <w:bottom w:val="single" w:color="000000" w:sz="2" w:space="0"/>
              <w:right w:val="single" w:color="000000" w:sz="2" w:space="0"/>
            </w:tcBorders>
            <w:noWrap w:val="0"/>
            <w:vAlign w:val="center"/>
          </w:tcPr>
          <w:p w14:paraId="094CACF9">
            <w:pPr>
              <w:spacing w:line="400" w:lineRule="exact"/>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安装、调试、检验费（含第三方检验费）</w:t>
            </w:r>
          </w:p>
        </w:tc>
        <w:tc>
          <w:tcPr>
            <w:tcW w:w="6161" w:type="dxa"/>
            <w:gridSpan w:val="5"/>
            <w:tcBorders>
              <w:top w:val="single" w:color="000000" w:sz="2" w:space="0"/>
              <w:left w:val="single" w:color="000000" w:sz="2" w:space="0"/>
              <w:bottom w:val="single" w:color="000000" w:sz="2" w:space="0"/>
              <w:right w:val="single" w:color="000000" w:sz="12" w:space="0"/>
            </w:tcBorders>
            <w:noWrap w:val="0"/>
            <w:vAlign w:val="center"/>
          </w:tcPr>
          <w:p w14:paraId="3E68E803">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lang w:val="en-US" w:eastAsia="zh-CN"/>
              </w:rPr>
              <w:t>含</w:t>
            </w:r>
          </w:p>
        </w:tc>
      </w:tr>
      <w:tr w14:paraId="51072EFF">
        <w:tblPrEx>
          <w:tblCellMar>
            <w:top w:w="0" w:type="dxa"/>
            <w:left w:w="108" w:type="dxa"/>
            <w:bottom w:w="0" w:type="dxa"/>
            <w:right w:w="108" w:type="dxa"/>
          </w:tblCellMar>
        </w:tblPrEx>
        <w:trPr>
          <w:trHeight w:val="724" w:hRule="exact"/>
        </w:trPr>
        <w:tc>
          <w:tcPr>
            <w:tcW w:w="437" w:type="dxa"/>
            <w:tcBorders>
              <w:top w:val="single" w:color="000000" w:sz="2" w:space="0"/>
              <w:left w:val="single" w:color="000000" w:sz="12" w:space="0"/>
              <w:bottom w:val="single" w:color="000000" w:sz="2" w:space="0"/>
              <w:right w:val="single" w:color="000000" w:sz="2" w:space="0"/>
            </w:tcBorders>
            <w:noWrap w:val="0"/>
            <w:vAlign w:val="center"/>
          </w:tcPr>
          <w:p w14:paraId="17FCB4B3">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4</w:t>
            </w:r>
          </w:p>
        </w:tc>
        <w:tc>
          <w:tcPr>
            <w:tcW w:w="3254" w:type="dxa"/>
            <w:tcBorders>
              <w:top w:val="single" w:color="000000" w:sz="2" w:space="0"/>
              <w:left w:val="single" w:color="000000" w:sz="2" w:space="0"/>
              <w:bottom w:val="single" w:color="000000" w:sz="2" w:space="0"/>
              <w:right w:val="single" w:color="000000" w:sz="2" w:space="0"/>
            </w:tcBorders>
            <w:noWrap w:val="0"/>
            <w:vAlign w:val="center"/>
          </w:tcPr>
          <w:p w14:paraId="1DB1BA96">
            <w:pPr>
              <w:spacing w:line="400" w:lineRule="exact"/>
              <w:rPr>
                <w:rFonts w:hint="eastAsia" w:ascii="宋体" w:hAnsi="宋体" w:eastAsia="宋体" w:cs="宋体"/>
                <w:color w:val="auto"/>
                <w:kern w:val="1"/>
                <w:sz w:val="22"/>
                <w:szCs w:val="22"/>
                <w:highlight w:val="none"/>
                <w:lang w:val="en-US" w:eastAsia="zh-CN" w:bidi="ar-SA"/>
              </w:rPr>
            </w:pPr>
            <w:r>
              <w:rPr>
                <w:rFonts w:hint="eastAsia" w:ascii="宋体" w:hAnsi="宋体" w:eastAsia="宋体" w:cs="宋体"/>
                <w:color w:val="auto"/>
                <w:kern w:val="1"/>
                <w:sz w:val="22"/>
                <w:szCs w:val="22"/>
                <w:highlight w:val="none"/>
              </w:rPr>
              <w:t>技术服务费</w:t>
            </w:r>
            <w:r>
              <w:rPr>
                <w:rFonts w:hint="eastAsia" w:ascii="宋体" w:hAnsi="宋体" w:eastAsia="宋体" w:cs="宋体"/>
                <w:color w:val="auto"/>
                <w:kern w:val="1"/>
                <w:sz w:val="22"/>
                <w:szCs w:val="22"/>
                <w:highlight w:val="none"/>
                <w:lang w:eastAsia="zh-CN"/>
              </w:rPr>
              <w:t>、</w:t>
            </w:r>
            <w:r>
              <w:rPr>
                <w:rFonts w:hint="eastAsia" w:ascii="宋体" w:hAnsi="宋体" w:eastAsia="宋体" w:cs="宋体"/>
                <w:color w:val="auto"/>
                <w:kern w:val="1"/>
                <w:sz w:val="22"/>
                <w:szCs w:val="22"/>
                <w:highlight w:val="none"/>
                <w:lang w:val="en-US" w:eastAsia="zh-CN"/>
              </w:rPr>
              <w:t>培训费</w:t>
            </w:r>
            <w:r>
              <w:rPr>
                <w:rFonts w:hint="eastAsia" w:ascii="宋体" w:hAnsi="宋体" w:eastAsia="宋体" w:cs="宋体"/>
                <w:color w:val="auto"/>
                <w:kern w:val="1"/>
                <w:sz w:val="22"/>
                <w:szCs w:val="22"/>
                <w:highlight w:val="none"/>
              </w:rPr>
              <w:t>（如有）</w:t>
            </w:r>
          </w:p>
        </w:tc>
        <w:tc>
          <w:tcPr>
            <w:tcW w:w="6161" w:type="dxa"/>
            <w:gridSpan w:val="5"/>
            <w:tcBorders>
              <w:top w:val="single" w:color="000000" w:sz="2" w:space="0"/>
              <w:left w:val="single" w:color="000000" w:sz="2" w:space="0"/>
              <w:bottom w:val="single" w:color="000000" w:sz="2" w:space="0"/>
              <w:right w:val="single" w:color="000000" w:sz="12" w:space="0"/>
            </w:tcBorders>
            <w:noWrap w:val="0"/>
            <w:vAlign w:val="center"/>
          </w:tcPr>
          <w:p w14:paraId="7C182149">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lang w:val="en-US" w:eastAsia="zh-CN"/>
              </w:rPr>
              <w:t>含</w:t>
            </w:r>
          </w:p>
        </w:tc>
      </w:tr>
      <w:tr w14:paraId="37321D9A">
        <w:tblPrEx>
          <w:tblCellMar>
            <w:top w:w="0" w:type="dxa"/>
            <w:left w:w="108" w:type="dxa"/>
            <w:bottom w:w="0" w:type="dxa"/>
            <w:right w:w="108" w:type="dxa"/>
          </w:tblCellMar>
        </w:tblPrEx>
        <w:trPr>
          <w:trHeight w:val="748" w:hRule="exact"/>
        </w:trPr>
        <w:tc>
          <w:tcPr>
            <w:tcW w:w="437" w:type="dxa"/>
            <w:tcBorders>
              <w:top w:val="single" w:color="000000" w:sz="2" w:space="0"/>
              <w:left w:val="single" w:color="000000" w:sz="12" w:space="0"/>
              <w:bottom w:val="single" w:color="000000" w:sz="2" w:space="0"/>
              <w:right w:val="single" w:color="000000" w:sz="2" w:space="0"/>
            </w:tcBorders>
            <w:noWrap w:val="0"/>
            <w:vAlign w:val="center"/>
          </w:tcPr>
          <w:p w14:paraId="7A646482">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5</w:t>
            </w:r>
          </w:p>
        </w:tc>
        <w:tc>
          <w:tcPr>
            <w:tcW w:w="3254" w:type="dxa"/>
            <w:tcBorders>
              <w:top w:val="single" w:color="000000" w:sz="2" w:space="0"/>
              <w:left w:val="single" w:color="000000" w:sz="2" w:space="0"/>
              <w:bottom w:val="single" w:color="000000" w:sz="2" w:space="0"/>
              <w:right w:val="single" w:color="000000" w:sz="2" w:space="0"/>
            </w:tcBorders>
            <w:noWrap w:val="0"/>
            <w:vAlign w:val="center"/>
          </w:tcPr>
          <w:p w14:paraId="455B88BD">
            <w:pPr>
              <w:spacing w:line="400" w:lineRule="exact"/>
              <w:rPr>
                <w:rFonts w:hint="eastAsia" w:ascii="宋体" w:hAnsi="宋体" w:eastAsia="宋体" w:cs="宋体"/>
                <w:color w:val="auto"/>
                <w:kern w:val="1"/>
                <w:sz w:val="22"/>
                <w:szCs w:val="22"/>
                <w:highlight w:val="none"/>
                <w:lang w:val="en-US" w:eastAsia="zh-CN" w:bidi="ar-SA"/>
              </w:rPr>
            </w:pPr>
            <w:r>
              <w:rPr>
                <w:rFonts w:hint="eastAsia" w:ascii="宋体" w:hAnsi="宋体" w:eastAsia="宋体" w:cs="宋体"/>
                <w:color w:val="auto"/>
                <w:kern w:val="1"/>
                <w:sz w:val="22"/>
                <w:szCs w:val="22"/>
                <w:highlight w:val="none"/>
              </w:rPr>
              <w:t>至最终目的地的运费、保险费</w:t>
            </w:r>
          </w:p>
        </w:tc>
        <w:tc>
          <w:tcPr>
            <w:tcW w:w="6161" w:type="dxa"/>
            <w:gridSpan w:val="5"/>
            <w:tcBorders>
              <w:top w:val="single" w:color="000000" w:sz="2" w:space="0"/>
              <w:left w:val="single" w:color="000000" w:sz="2" w:space="0"/>
              <w:bottom w:val="single" w:color="000000" w:sz="2" w:space="0"/>
              <w:right w:val="single" w:color="000000" w:sz="12" w:space="0"/>
            </w:tcBorders>
            <w:noWrap w:val="0"/>
            <w:vAlign w:val="center"/>
          </w:tcPr>
          <w:p w14:paraId="119B05AC">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lang w:val="en-US" w:eastAsia="zh-CN"/>
              </w:rPr>
              <w:t>含</w:t>
            </w:r>
          </w:p>
        </w:tc>
      </w:tr>
      <w:tr w14:paraId="3E1F4F70">
        <w:tblPrEx>
          <w:tblCellMar>
            <w:top w:w="0" w:type="dxa"/>
            <w:left w:w="108" w:type="dxa"/>
            <w:bottom w:w="0" w:type="dxa"/>
            <w:right w:w="108" w:type="dxa"/>
          </w:tblCellMar>
        </w:tblPrEx>
        <w:trPr>
          <w:trHeight w:val="724" w:hRule="exact"/>
        </w:trPr>
        <w:tc>
          <w:tcPr>
            <w:tcW w:w="437" w:type="dxa"/>
            <w:tcBorders>
              <w:top w:val="single" w:color="000000" w:sz="2" w:space="0"/>
              <w:left w:val="single" w:color="000000" w:sz="12" w:space="0"/>
              <w:bottom w:val="single" w:color="000000" w:sz="2" w:space="0"/>
              <w:right w:val="single" w:color="000000" w:sz="2" w:space="0"/>
            </w:tcBorders>
            <w:noWrap w:val="0"/>
            <w:vAlign w:val="center"/>
          </w:tcPr>
          <w:p w14:paraId="412CA1C2">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6</w:t>
            </w:r>
          </w:p>
        </w:tc>
        <w:tc>
          <w:tcPr>
            <w:tcW w:w="3254" w:type="dxa"/>
            <w:tcBorders>
              <w:top w:val="single" w:color="000000" w:sz="2" w:space="0"/>
              <w:left w:val="single" w:color="000000" w:sz="2" w:space="0"/>
              <w:bottom w:val="single" w:color="000000" w:sz="2" w:space="0"/>
              <w:right w:val="single" w:color="000000" w:sz="2" w:space="0"/>
            </w:tcBorders>
            <w:noWrap w:val="0"/>
            <w:vAlign w:val="center"/>
          </w:tcPr>
          <w:p w14:paraId="1C0B27BB">
            <w:pPr>
              <w:spacing w:line="400" w:lineRule="exact"/>
              <w:rPr>
                <w:rFonts w:hint="eastAsia" w:ascii="宋体" w:hAnsi="宋体" w:eastAsia="宋体" w:cs="宋体"/>
                <w:color w:val="auto"/>
                <w:kern w:val="1"/>
                <w:sz w:val="22"/>
                <w:szCs w:val="22"/>
                <w:highlight w:val="none"/>
                <w:lang w:eastAsia="zh-CN"/>
              </w:rPr>
            </w:pPr>
            <w:r>
              <w:rPr>
                <w:rFonts w:hint="eastAsia" w:ascii="宋体" w:hAnsi="宋体" w:eastAsia="宋体" w:cs="宋体"/>
                <w:color w:val="auto"/>
                <w:kern w:val="1"/>
                <w:sz w:val="22"/>
                <w:szCs w:val="22"/>
                <w:highlight w:val="none"/>
              </w:rPr>
              <w:t>其它</w:t>
            </w:r>
          </w:p>
        </w:tc>
        <w:tc>
          <w:tcPr>
            <w:tcW w:w="6161" w:type="dxa"/>
            <w:gridSpan w:val="5"/>
            <w:tcBorders>
              <w:top w:val="single" w:color="000000" w:sz="2" w:space="0"/>
              <w:left w:val="single" w:color="000000" w:sz="2" w:space="0"/>
              <w:bottom w:val="single" w:color="000000" w:sz="2" w:space="0"/>
              <w:right w:val="single" w:color="000000" w:sz="12" w:space="0"/>
            </w:tcBorders>
            <w:noWrap w:val="0"/>
            <w:vAlign w:val="center"/>
          </w:tcPr>
          <w:p w14:paraId="6D547D32">
            <w:pPr>
              <w:spacing w:line="400" w:lineRule="exact"/>
              <w:jc w:val="center"/>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lang w:val="en-US" w:eastAsia="zh-CN"/>
              </w:rPr>
              <w:t>含</w:t>
            </w:r>
          </w:p>
        </w:tc>
      </w:tr>
      <w:tr w14:paraId="3C5157E9">
        <w:tblPrEx>
          <w:tblCellMar>
            <w:top w:w="0" w:type="dxa"/>
            <w:left w:w="108" w:type="dxa"/>
            <w:bottom w:w="0" w:type="dxa"/>
            <w:right w:w="108" w:type="dxa"/>
          </w:tblCellMar>
        </w:tblPrEx>
        <w:trPr>
          <w:trHeight w:val="724" w:hRule="exact"/>
        </w:trPr>
        <w:tc>
          <w:tcPr>
            <w:tcW w:w="3691" w:type="dxa"/>
            <w:gridSpan w:val="2"/>
            <w:tcBorders>
              <w:top w:val="single" w:color="000000" w:sz="2" w:space="0"/>
              <w:left w:val="single" w:color="000000" w:sz="12" w:space="0"/>
              <w:bottom w:val="single" w:color="000000" w:sz="12" w:space="0"/>
              <w:right w:val="single" w:color="000000" w:sz="2" w:space="0"/>
            </w:tcBorders>
            <w:noWrap w:val="0"/>
            <w:vAlign w:val="center"/>
          </w:tcPr>
          <w:p w14:paraId="41935439">
            <w:pPr>
              <w:spacing w:line="400" w:lineRule="exact"/>
              <w:rPr>
                <w:rFonts w:hint="eastAsia" w:ascii="宋体" w:hAnsi="宋体" w:eastAsia="宋体" w:cs="宋体"/>
                <w:color w:val="auto"/>
                <w:kern w:val="1"/>
                <w:sz w:val="22"/>
                <w:szCs w:val="22"/>
                <w:highlight w:val="none"/>
              </w:rPr>
            </w:pPr>
            <w:r>
              <w:rPr>
                <w:rFonts w:hint="eastAsia" w:ascii="宋体" w:hAnsi="宋体" w:eastAsia="宋体" w:cs="宋体"/>
                <w:color w:val="auto"/>
                <w:kern w:val="1"/>
                <w:sz w:val="22"/>
                <w:szCs w:val="22"/>
                <w:highlight w:val="none"/>
              </w:rPr>
              <w:t>总    计   价（元）</w:t>
            </w:r>
          </w:p>
        </w:tc>
        <w:tc>
          <w:tcPr>
            <w:tcW w:w="6161" w:type="dxa"/>
            <w:gridSpan w:val="5"/>
            <w:tcBorders>
              <w:top w:val="single" w:color="000000" w:sz="2" w:space="0"/>
              <w:left w:val="single" w:color="000000" w:sz="2" w:space="0"/>
              <w:bottom w:val="single" w:color="000000" w:sz="12" w:space="0"/>
              <w:right w:val="single" w:color="000000" w:sz="12" w:space="0"/>
            </w:tcBorders>
            <w:noWrap w:val="0"/>
            <w:vAlign w:val="center"/>
          </w:tcPr>
          <w:p w14:paraId="3789D917">
            <w:pPr>
              <w:spacing w:line="400" w:lineRule="exact"/>
              <w:jc w:val="center"/>
              <w:rPr>
                <w:rFonts w:hint="eastAsia" w:ascii="宋体" w:hAnsi="宋体" w:eastAsia="宋体" w:cs="宋体"/>
                <w:color w:val="auto"/>
                <w:kern w:val="1"/>
                <w:sz w:val="22"/>
                <w:szCs w:val="22"/>
                <w:highlight w:val="none"/>
              </w:rPr>
            </w:pPr>
          </w:p>
        </w:tc>
      </w:tr>
    </w:tbl>
    <w:p w14:paraId="170CC8C2">
      <w:pPr>
        <w:autoSpaceDE w:val="0"/>
        <w:autoSpaceDN w:val="0"/>
        <w:adjustRightInd w:val="0"/>
        <w:spacing w:line="380" w:lineRule="atLeast"/>
        <w:rPr>
          <w:rFonts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说明：</w:t>
      </w:r>
    </w:p>
    <w:p w14:paraId="2627BF92">
      <w:pPr>
        <w:autoSpaceDE w:val="0"/>
        <w:autoSpaceDN w:val="0"/>
        <w:adjustRightInd w:val="0"/>
        <w:spacing w:line="380" w:lineRule="atLeast"/>
        <w:rPr>
          <w:rFonts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 xml:space="preserve">1. </w:t>
      </w:r>
      <w:r>
        <w:rPr>
          <w:rFonts w:hint="eastAsia" w:ascii="新宋体" w:hAnsi="新宋体" w:eastAsia="新宋体" w:cs="新宋体"/>
          <w:b/>
          <w:bCs/>
          <w:color w:val="auto"/>
          <w:kern w:val="0"/>
          <w:sz w:val="22"/>
          <w:szCs w:val="22"/>
          <w:highlight w:val="none"/>
        </w:rPr>
        <w:t>总</w:t>
      </w:r>
      <w:r>
        <w:rPr>
          <w:rFonts w:hint="eastAsia" w:ascii="新宋体" w:hAnsi="新宋体" w:eastAsia="新宋体" w:cs="新宋体"/>
          <w:b/>
          <w:bCs/>
          <w:color w:val="auto"/>
          <w:kern w:val="0"/>
          <w:sz w:val="22"/>
          <w:szCs w:val="22"/>
          <w:highlight w:val="none"/>
          <w:lang w:val="zh-CN"/>
        </w:rPr>
        <w:t>计价应与附件一“开标一览表”中投标总价相一致。</w:t>
      </w:r>
    </w:p>
    <w:p w14:paraId="48F053C6">
      <w:pPr>
        <w:autoSpaceDE w:val="0"/>
        <w:autoSpaceDN w:val="0"/>
        <w:adjustRightInd w:val="0"/>
        <w:spacing w:line="380" w:lineRule="atLeast"/>
        <w:rPr>
          <w:rFonts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 xml:space="preserve">2. 不提供投标分项报价表的投标文件将被视为未实质性响应采购文件。 </w:t>
      </w:r>
    </w:p>
    <w:p w14:paraId="5D580B6F">
      <w:pPr>
        <w:spacing w:line="380" w:lineRule="exact"/>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3. 本表可在不改变格式的情况下根据具体需要自行增减。</w:t>
      </w:r>
    </w:p>
    <w:p w14:paraId="02C880CA">
      <w:pPr>
        <w:keepNext w:val="0"/>
        <w:keepLines w:val="0"/>
        <w:pageBreakBefore w:val="0"/>
        <w:widowControl w:val="0"/>
        <w:kinsoku/>
        <w:wordWrap/>
        <w:overflowPunct/>
        <w:topLinePunct w:val="0"/>
        <w:bidi w:val="0"/>
        <w:snapToGrid/>
        <w:spacing w:line="440" w:lineRule="exact"/>
        <w:textAlignment w:val="auto"/>
        <w:rPr>
          <w:rFonts w:hint="default" w:ascii="宋体" w:hAnsi="宋体" w:eastAsia="宋体" w:cs="宋体"/>
          <w:b/>
          <w:color w:val="auto"/>
          <w:sz w:val="22"/>
          <w:szCs w:val="22"/>
          <w:highlight w:val="none"/>
          <w:lang w:val="en-US" w:eastAsia="zh-CN"/>
        </w:rPr>
      </w:pPr>
      <w:r>
        <w:rPr>
          <w:rFonts w:hint="eastAsia" w:ascii="新宋体" w:hAnsi="新宋体" w:eastAsia="新宋体" w:cs="新宋体"/>
          <w:b/>
          <w:bCs/>
          <w:color w:val="auto"/>
          <w:kern w:val="0"/>
          <w:sz w:val="22"/>
          <w:szCs w:val="22"/>
          <w:highlight w:val="none"/>
          <w:lang w:val="zh-CN"/>
        </w:rPr>
        <w:t xml:space="preserve"> </w:t>
      </w:r>
    </w:p>
    <w:p w14:paraId="49B8D78F">
      <w:pPr>
        <w:rPr>
          <w:rFonts w:eastAsia="新宋体"/>
          <w:color w:val="auto"/>
          <w:sz w:val="22"/>
          <w:szCs w:val="22"/>
          <w:highlight w:val="none"/>
        </w:rPr>
      </w:pPr>
      <w:r>
        <w:rPr>
          <w:rFonts w:hint="eastAsia" w:ascii="宋体" w:hAnsi="宋体" w:cs="宋体"/>
          <w:b/>
          <w:color w:val="auto"/>
          <w:sz w:val="22"/>
          <w:szCs w:val="22"/>
          <w:highlight w:val="none"/>
        </w:rPr>
        <w:t xml:space="preserve">     </w:t>
      </w:r>
    </w:p>
    <w:p w14:paraId="533260C4">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14:paraId="4EB7148C">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法定代表人或授权代表（签名或盖章）：</w:t>
      </w:r>
    </w:p>
    <w:p w14:paraId="609C146D">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5EC88412">
      <w:pPr>
        <w:spacing w:line="380" w:lineRule="exact"/>
        <w:rPr>
          <w:rFonts w:hint="eastAsia" w:ascii="新宋体" w:hAnsi="新宋体" w:eastAsia="新宋体" w:cs="新宋体"/>
          <w:color w:val="auto"/>
          <w:sz w:val="22"/>
          <w:szCs w:val="22"/>
          <w:highlight w:val="none"/>
        </w:rPr>
      </w:pPr>
    </w:p>
    <w:p w14:paraId="7B5267D5">
      <w:pPr>
        <w:pStyle w:val="4"/>
        <w:rPr>
          <w:rFonts w:hint="eastAsia" w:ascii="宋体" w:hAnsi="宋体" w:cs="宋体"/>
          <w:color w:val="auto"/>
          <w:sz w:val="22"/>
          <w:szCs w:val="22"/>
          <w:highlight w:val="none"/>
          <w:lang w:val="en-US" w:eastAsia="zh-CN"/>
        </w:rPr>
      </w:pPr>
      <w:r>
        <w:rPr>
          <w:rFonts w:hint="eastAsia" w:ascii="新宋体" w:hAnsi="新宋体" w:eastAsia="新宋体" w:cs="新宋体"/>
          <w:color w:val="auto"/>
          <w:sz w:val="22"/>
          <w:szCs w:val="22"/>
          <w:highlight w:val="none"/>
        </w:rPr>
        <w:br w:type="page"/>
      </w:r>
      <w:bookmarkStart w:id="108" w:name="_Toc71374680"/>
      <w:bookmarkStart w:id="109" w:name="_Toc29752"/>
      <w:r>
        <w:rPr>
          <w:rFonts w:hint="eastAsia" w:ascii="新宋体" w:hAnsi="新宋体" w:eastAsia="新宋体" w:cs="新宋体"/>
          <w:color w:val="auto"/>
          <w:sz w:val="36"/>
          <w:szCs w:val="36"/>
          <w:highlight w:val="none"/>
        </w:rPr>
        <w:t>第四部分   采购内容及要求</w:t>
      </w:r>
      <w:bookmarkEnd w:id="108"/>
      <w:bookmarkEnd w:id="109"/>
      <w:bookmarkStart w:id="110" w:name="_Toc479601381"/>
      <w:bookmarkStart w:id="111" w:name="_Toc27527"/>
      <w:bookmarkStart w:id="112" w:name="_Toc28073"/>
      <w:bookmarkStart w:id="113" w:name="_Toc486540098"/>
      <w:bookmarkStart w:id="114" w:name="_Toc26699"/>
      <w:bookmarkStart w:id="115" w:name="_Toc19998"/>
      <w:bookmarkStart w:id="116" w:name="_Toc21346"/>
      <w:bookmarkStart w:id="117" w:name="_Toc222114886"/>
      <w:bookmarkStart w:id="118" w:name="_Toc239145361"/>
      <w:bookmarkStart w:id="119" w:name="_Toc221356960"/>
      <w:bookmarkStart w:id="120" w:name="_Toc221356897"/>
      <w:bookmarkStart w:id="121" w:name="_Toc71374681"/>
      <w:bookmarkStart w:id="122" w:name="_Toc221374633"/>
      <w:bookmarkStart w:id="123" w:name="_Toc223716005"/>
      <w:bookmarkStart w:id="124" w:name="_Toc265529390"/>
      <w:bookmarkStart w:id="125" w:name="_Toc221423626"/>
      <w:bookmarkStart w:id="126" w:name="_Toc241404209"/>
    </w:p>
    <w:p w14:paraId="5210BFED">
      <w:pPr>
        <w:shd w:val="clear" w:color="auto" w:fill="auto"/>
        <w:spacing w:line="360" w:lineRule="auto"/>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一、总则</w:t>
      </w:r>
    </w:p>
    <w:p w14:paraId="6932DD4B">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1.</w:t>
      </w:r>
      <w:r>
        <w:rPr>
          <w:rFonts w:hint="eastAsia" w:ascii="宋体" w:hAnsi="宋体" w:eastAsia="宋体" w:cs="宋体"/>
          <w:color w:val="auto"/>
          <w:sz w:val="22"/>
          <w:szCs w:val="22"/>
          <w:highlight w:val="none"/>
        </w:rPr>
        <w:t>采购的服务所涉及的产品标准、规范，验收标准、规范，应符合国家有关条例及规范，如有新的标准应采纳新标准，如是国外相应标准应征得采购人认可。</w:t>
      </w:r>
    </w:p>
    <w:p w14:paraId="4D1A754D">
      <w:pPr>
        <w:shd w:val="clear" w:color="auto" w:fill="auto"/>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本次采购为家具，</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应根据</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文件所提出的技术规格和服务要求，综合考虑，选择具有最佳性能价格比的服务前来投标。希望</w:t>
      </w:r>
      <w:r>
        <w:rPr>
          <w:rFonts w:hint="eastAsia" w:ascii="宋体" w:hAnsi="宋体" w:cs="宋体"/>
          <w:color w:val="auto"/>
          <w:sz w:val="22"/>
          <w:szCs w:val="22"/>
          <w:highlight w:val="none"/>
          <w:lang w:eastAsia="zh-CN"/>
        </w:rPr>
        <w:t>供应商</w:t>
      </w:r>
      <w:r>
        <w:rPr>
          <w:rFonts w:hint="eastAsia" w:ascii="宋体" w:hAnsi="宋体" w:eastAsia="宋体" w:cs="宋体"/>
          <w:color w:val="auto"/>
          <w:sz w:val="22"/>
          <w:szCs w:val="22"/>
          <w:highlight w:val="none"/>
        </w:rPr>
        <w:t>以精良的</w:t>
      </w:r>
      <w:r>
        <w:rPr>
          <w:rFonts w:hint="eastAsia" w:ascii="宋体" w:hAnsi="宋体" w:cs="宋体"/>
          <w:color w:val="auto"/>
          <w:sz w:val="22"/>
          <w:szCs w:val="22"/>
          <w:highlight w:val="none"/>
          <w:lang w:val="en-US" w:eastAsia="zh-CN"/>
        </w:rPr>
        <w:t>产品</w:t>
      </w:r>
      <w:r>
        <w:rPr>
          <w:rFonts w:hint="eastAsia" w:ascii="宋体" w:hAnsi="宋体" w:eastAsia="宋体" w:cs="宋体"/>
          <w:color w:val="auto"/>
          <w:sz w:val="22"/>
          <w:szCs w:val="22"/>
          <w:highlight w:val="none"/>
        </w:rPr>
        <w:t>、优良的服务和优惠的价格，充分显示你们的竞争实力。</w:t>
      </w:r>
    </w:p>
    <w:p w14:paraId="3BBCC328">
      <w:pPr>
        <w:shd w:val="clear" w:color="auto" w:fill="auto"/>
        <w:snapToGrid w:val="0"/>
        <w:spacing w:line="360" w:lineRule="auto"/>
        <w:ind w:firstLine="440" w:firstLineChars="200"/>
        <w:rPr>
          <w:rFonts w:hint="eastAsia" w:ascii="宋体" w:hAnsi="宋体" w:eastAsia="宋体" w:cs="宋体"/>
          <w:color w:val="auto"/>
          <w:sz w:val="22"/>
          <w:szCs w:val="22"/>
          <w:highlight w:val="none"/>
          <w:u w:val="singl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u w:val="single"/>
          <w:lang w:val="en-US" w:eastAsia="zh-CN"/>
        </w:rPr>
        <w:t>供应商</w:t>
      </w:r>
      <w:r>
        <w:rPr>
          <w:rFonts w:hint="eastAsia" w:ascii="宋体" w:hAnsi="宋体" w:eastAsia="宋体" w:cs="宋体"/>
          <w:color w:val="auto"/>
          <w:sz w:val="22"/>
          <w:szCs w:val="22"/>
          <w:highlight w:val="none"/>
          <w:u w:val="single"/>
        </w:rPr>
        <w:t>必须</w:t>
      </w:r>
      <w:r>
        <w:rPr>
          <w:rFonts w:hint="eastAsia" w:ascii="宋体" w:hAnsi="宋体" w:cs="宋体"/>
          <w:color w:val="auto"/>
          <w:sz w:val="22"/>
          <w:szCs w:val="22"/>
          <w:highlight w:val="none"/>
          <w:u w:val="single"/>
          <w:lang w:val="en-US" w:eastAsia="zh-CN"/>
        </w:rPr>
        <w:t>针对整个项目进行投标</w:t>
      </w:r>
      <w:r>
        <w:rPr>
          <w:rFonts w:hint="eastAsia" w:ascii="宋体" w:hAnsi="宋体" w:eastAsia="宋体" w:cs="宋体"/>
          <w:color w:val="auto"/>
          <w:sz w:val="22"/>
          <w:szCs w:val="22"/>
          <w:highlight w:val="none"/>
          <w:u w:val="single"/>
        </w:rPr>
        <w:t>，不得只投部分内容。</w:t>
      </w:r>
    </w:p>
    <w:p w14:paraId="0C375A06">
      <w:pPr>
        <w:shd w:val="clear" w:color="auto" w:fill="auto"/>
        <w:snapToGrid w:val="0"/>
        <w:spacing w:line="360" w:lineRule="auto"/>
        <w:ind w:firstLine="440" w:firstLineChars="200"/>
        <w:rPr>
          <w:rFonts w:hint="default" w:eastAsia="宋体"/>
          <w:b w:val="0"/>
          <w:bCs w:val="0"/>
          <w:color w:val="auto"/>
          <w:highlight w:val="none"/>
          <w:u w:val="none"/>
          <w:lang w:val="en-US" w:eastAsia="zh-CN"/>
        </w:rPr>
      </w:pPr>
      <w:r>
        <w:rPr>
          <w:rFonts w:hint="eastAsia" w:ascii="宋体" w:hAnsi="宋体" w:cs="宋体"/>
          <w:b w:val="0"/>
          <w:bCs w:val="0"/>
          <w:color w:val="auto"/>
          <w:sz w:val="22"/>
          <w:szCs w:val="22"/>
          <w:highlight w:val="none"/>
          <w:u w:val="none"/>
          <w:lang w:val="en-US" w:eastAsia="zh-CN"/>
        </w:rPr>
        <w:t>4.为保障滨海校区二期工程顺利竣工交付，满足后续教学活动有序开展，优化教学环境、提升教学体验，结合校区小教室、大教室的实际布局与使用需求，特制定本采购清单。本次采购家具均为定制规格，严格遵循校园家具环保、安全、耐用、易清洁、可移动的核心要求。本次小教室共19间，结合教室空间大小、学生容纳量及教学便捷性，采购可移动类家具，方便课堂布局调整，适配小组讨论、常规授课等多种教学形式。本次大教室共4间，主要用于大班授课，容纳学生人数较多，采购家具注重实用性、稳定性和批量适配性，同时保留可移动性，方便课堂布局调整。</w:t>
      </w:r>
    </w:p>
    <w:p w14:paraId="29CB5F06">
      <w:pPr>
        <w:shd w:val="clear" w:color="auto" w:fill="auto"/>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sz w:val="22"/>
          <w:szCs w:val="22"/>
          <w:highlight w:val="none"/>
        </w:rPr>
        <w:t>采购数量及预算：</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3092"/>
        <w:gridCol w:w="3322"/>
        <w:gridCol w:w="1172"/>
        <w:gridCol w:w="1462"/>
      </w:tblGrid>
      <w:tr w14:paraId="2EBD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06" w:type="pct"/>
            <w:noWrap w:val="0"/>
            <w:vAlign w:val="center"/>
          </w:tcPr>
          <w:p w14:paraId="4141A885">
            <w:pPr>
              <w:shd w:val="clear" w:color="auto" w:fill="auto"/>
              <w:kinsoku w:val="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1569" w:type="pct"/>
            <w:noWrap w:val="0"/>
            <w:vAlign w:val="center"/>
          </w:tcPr>
          <w:p w14:paraId="4AF819B6">
            <w:pPr>
              <w:shd w:val="clear" w:color="auto" w:fill="auto"/>
              <w:kinsoku w:val="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名称</w:t>
            </w:r>
          </w:p>
        </w:tc>
        <w:tc>
          <w:tcPr>
            <w:tcW w:w="1686" w:type="pct"/>
            <w:noWrap w:val="0"/>
            <w:vAlign w:val="center"/>
          </w:tcPr>
          <w:p w14:paraId="7545BEDA">
            <w:pPr>
              <w:shd w:val="clear" w:color="auto" w:fill="auto"/>
              <w:kinsoku w:val="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产品参数</w:t>
            </w:r>
          </w:p>
        </w:tc>
        <w:tc>
          <w:tcPr>
            <w:tcW w:w="595" w:type="pct"/>
            <w:noWrap w:val="0"/>
            <w:vAlign w:val="center"/>
          </w:tcPr>
          <w:p w14:paraId="2E84289F">
            <w:pPr>
              <w:shd w:val="clear" w:color="auto" w:fill="auto"/>
              <w:kinsoku w:val="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数量</w:t>
            </w:r>
          </w:p>
        </w:tc>
        <w:tc>
          <w:tcPr>
            <w:tcW w:w="742" w:type="pct"/>
            <w:noWrap w:val="0"/>
            <w:vAlign w:val="center"/>
          </w:tcPr>
          <w:p w14:paraId="12BB9778">
            <w:pPr>
              <w:shd w:val="clear" w:color="auto" w:fill="auto"/>
              <w:kinsoku w:val="0"/>
              <w:jc w:val="center"/>
              <w:rPr>
                <w:rFonts w:hint="eastAsia" w:ascii="宋体" w:hAnsi="宋体" w:eastAsia="宋体" w:cs="宋体"/>
                <w:b/>
                <w:bCs/>
                <w:color w:val="auto"/>
                <w:sz w:val="22"/>
                <w:szCs w:val="22"/>
                <w:highlight w:val="none"/>
              </w:rPr>
            </w:pPr>
            <w:r>
              <w:rPr>
                <w:rFonts w:hint="eastAsia" w:ascii="宋体" w:hAnsi="宋体" w:cs="宋体"/>
                <w:b/>
                <w:bCs/>
                <w:color w:val="auto"/>
                <w:sz w:val="22"/>
                <w:szCs w:val="22"/>
                <w:highlight w:val="none"/>
                <w:lang w:val="en-US" w:eastAsia="zh-CN"/>
              </w:rPr>
              <w:t>预算金额</w:t>
            </w:r>
          </w:p>
        </w:tc>
      </w:tr>
      <w:tr w14:paraId="20D0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6" w:type="pct"/>
            <w:noWrap w:val="0"/>
            <w:vAlign w:val="center"/>
          </w:tcPr>
          <w:p w14:paraId="098E1B39">
            <w:pPr>
              <w:shd w:val="clear" w:color="auto" w:fill="auto"/>
              <w:kinsoku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569" w:type="pct"/>
            <w:noWrap w:val="0"/>
            <w:vAlign w:val="center"/>
          </w:tcPr>
          <w:p w14:paraId="52637D1B">
            <w:pPr>
              <w:shd w:val="clear" w:color="auto" w:fill="auto"/>
              <w:kinsoku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滨海校区二期教室家具</w:t>
            </w:r>
          </w:p>
        </w:tc>
        <w:tc>
          <w:tcPr>
            <w:tcW w:w="1686" w:type="pct"/>
            <w:noWrap w:val="0"/>
            <w:vAlign w:val="center"/>
          </w:tcPr>
          <w:p w14:paraId="7D9C6D1B">
            <w:pPr>
              <w:shd w:val="clear" w:color="auto" w:fill="auto"/>
              <w:kinsoku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具体清单详见产品</w:t>
            </w:r>
            <w:r>
              <w:rPr>
                <w:rFonts w:hint="eastAsia" w:ascii="宋体" w:hAnsi="宋体" w:cs="宋体"/>
                <w:color w:val="auto"/>
                <w:sz w:val="22"/>
                <w:szCs w:val="22"/>
                <w:highlight w:val="none"/>
                <w:lang w:val="en-US" w:eastAsia="zh-CN"/>
              </w:rPr>
              <w:t>技术</w:t>
            </w:r>
            <w:r>
              <w:rPr>
                <w:rFonts w:hint="eastAsia" w:ascii="宋体" w:hAnsi="宋体" w:eastAsia="宋体" w:cs="宋体"/>
                <w:color w:val="auto"/>
                <w:sz w:val="22"/>
                <w:szCs w:val="22"/>
                <w:highlight w:val="none"/>
              </w:rPr>
              <w:t>规格表</w:t>
            </w:r>
          </w:p>
        </w:tc>
        <w:tc>
          <w:tcPr>
            <w:tcW w:w="595" w:type="pct"/>
            <w:noWrap w:val="0"/>
            <w:vAlign w:val="center"/>
          </w:tcPr>
          <w:p w14:paraId="259341B9">
            <w:pPr>
              <w:shd w:val="clear" w:color="auto" w:fill="auto"/>
              <w:kinsoku w:val="0"/>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1批</w:t>
            </w:r>
          </w:p>
        </w:tc>
        <w:tc>
          <w:tcPr>
            <w:tcW w:w="742" w:type="pct"/>
            <w:noWrap w:val="0"/>
            <w:vAlign w:val="center"/>
          </w:tcPr>
          <w:p w14:paraId="68D660DC">
            <w:pPr>
              <w:shd w:val="clear" w:color="auto" w:fill="auto"/>
              <w:kinsoku w:val="0"/>
              <w:jc w:val="center"/>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62</w:t>
            </w:r>
            <w:r>
              <w:rPr>
                <w:rFonts w:hint="eastAsia" w:ascii="宋体" w:hAnsi="宋体" w:eastAsia="宋体" w:cs="宋体"/>
                <w:color w:val="auto"/>
                <w:sz w:val="22"/>
                <w:szCs w:val="22"/>
                <w:highlight w:val="none"/>
              </w:rPr>
              <w:t>万元</w:t>
            </w:r>
          </w:p>
        </w:tc>
      </w:tr>
    </w:tbl>
    <w:p w14:paraId="10090BC2">
      <w:pPr>
        <w:pStyle w:val="3"/>
        <w:shd w:val="clear" w:color="auto" w:fill="auto"/>
        <w:rPr>
          <w:rFonts w:hint="eastAsia"/>
          <w:color w:val="auto"/>
          <w:sz w:val="22"/>
          <w:szCs w:val="22"/>
          <w:highlight w:val="none"/>
        </w:rPr>
      </w:pPr>
    </w:p>
    <w:p w14:paraId="1BAF3AAC">
      <w:pPr>
        <w:numPr>
          <w:ilvl w:val="0"/>
          <w:numId w:val="21"/>
        </w:numPr>
        <w:shd w:val="clear" w:color="auto" w:fill="auto"/>
        <w:spacing w:line="360" w:lineRule="auto"/>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产品</w:t>
      </w:r>
      <w:r>
        <w:rPr>
          <w:rFonts w:hint="eastAsia" w:ascii="宋体" w:hAnsi="宋体" w:cs="宋体"/>
          <w:b/>
          <w:bCs/>
          <w:color w:val="auto"/>
          <w:sz w:val="22"/>
          <w:szCs w:val="22"/>
          <w:highlight w:val="none"/>
          <w:lang w:val="en-US" w:eastAsia="zh-CN"/>
        </w:rPr>
        <w:t>技术</w:t>
      </w:r>
      <w:r>
        <w:rPr>
          <w:rFonts w:hint="eastAsia" w:ascii="宋体" w:hAnsi="宋体" w:eastAsia="宋体" w:cs="宋体"/>
          <w:b/>
          <w:bCs/>
          <w:color w:val="auto"/>
          <w:sz w:val="22"/>
          <w:szCs w:val="22"/>
          <w:highlight w:val="none"/>
          <w:lang w:val="en-US" w:eastAsia="zh-CN"/>
        </w:rPr>
        <w:t>规格</w:t>
      </w:r>
      <w:r>
        <w:rPr>
          <w:rFonts w:hint="eastAsia" w:ascii="宋体" w:hAnsi="宋体" w:cs="宋体"/>
          <w:b/>
          <w:bCs/>
          <w:color w:val="auto"/>
          <w:sz w:val="22"/>
          <w:szCs w:val="22"/>
          <w:highlight w:val="none"/>
          <w:lang w:val="en-US" w:eastAsia="zh-CN"/>
        </w:rPr>
        <w:t>：</w:t>
      </w:r>
    </w:p>
    <w:bookmarkEnd w:id="110"/>
    <w:bookmarkEnd w:id="111"/>
    <w:bookmarkEnd w:id="112"/>
    <w:bookmarkEnd w:id="113"/>
    <w:bookmarkEnd w:id="114"/>
    <w:bookmarkEnd w:id="115"/>
    <w:bookmarkEnd w:id="116"/>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975"/>
        <w:gridCol w:w="5081"/>
        <w:gridCol w:w="896"/>
        <w:gridCol w:w="1083"/>
      </w:tblGrid>
      <w:tr w14:paraId="7142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blHeader/>
          <w:jc w:val="center"/>
        </w:trPr>
        <w:tc>
          <w:tcPr>
            <w:tcW w:w="411" w:type="pct"/>
            <w:vAlign w:val="center"/>
          </w:tcPr>
          <w:p w14:paraId="7F77C55A">
            <w:pPr>
              <w:pStyle w:val="23"/>
              <w:widowControl w:val="0"/>
              <w:snapToGrid w:val="0"/>
              <w:ind w:left="0" w:leftChars="0" w:right="0" w:rightChars="0" w:firstLine="0" w:firstLineChars="0"/>
              <w:jc w:val="center"/>
              <w:rPr>
                <w:rStyle w:val="29"/>
                <w:rFonts w:hint="eastAsia" w:ascii="宋体" w:hAnsi="宋体" w:eastAsia="宋体" w:cs="宋体"/>
                <w:b/>
                <w:bCs w:val="0"/>
                <w:color w:val="auto"/>
                <w:sz w:val="22"/>
                <w:szCs w:val="22"/>
                <w:highlight w:val="none"/>
              </w:rPr>
            </w:pPr>
            <w:r>
              <w:rPr>
                <w:rStyle w:val="29"/>
                <w:rFonts w:hint="eastAsia" w:ascii="宋体" w:hAnsi="宋体" w:eastAsia="宋体" w:cs="宋体"/>
                <w:b/>
                <w:bCs w:val="0"/>
                <w:color w:val="auto"/>
                <w:sz w:val="22"/>
                <w:szCs w:val="22"/>
                <w:highlight w:val="none"/>
              </w:rPr>
              <w:t>序号</w:t>
            </w:r>
          </w:p>
        </w:tc>
        <w:tc>
          <w:tcPr>
            <w:tcW w:w="1003" w:type="pct"/>
            <w:vAlign w:val="center"/>
          </w:tcPr>
          <w:p w14:paraId="0EE700ED">
            <w:pPr>
              <w:pStyle w:val="23"/>
              <w:widowControl w:val="0"/>
              <w:snapToGrid w:val="0"/>
              <w:ind w:left="0" w:leftChars="0" w:right="0" w:rightChars="0" w:firstLine="0" w:firstLineChars="0"/>
              <w:jc w:val="center"/>
              <w:rPr>
                <w:rStyle w:val="29"/>
                <w:rFonts w:hint="eastAsia" w:ascii="宋体" w:hAnsi="宋体" w:eastAsia="宋体" w:cs="宋体"/>
                <w:b/>
                <w:bCs w:val="0"/>
                <w:color w:val="auto"/>
                <w:sz w:val="22"/>
                <w:szCs w:val="22"/>
                <w:highlight w:val="none"/>
              </w:rPr>
            </w:pPr>
            <w:r>
              <w:rPr>
                <w:rStyle w:val="29"/>
                <w:rFonts w:hint="eastAsia" w:ascii="宋体" w:hAnsi="宋体" w:eastAsia="宋体" w:cs="宋体"/>
                <w:b/>
                <w:bCs w:val="0"/>
                <w:color w:val="auto"/>
                <w:sz w:val="22"/>
                <w:szCs w:val="22"/>
                <w:highlight w:val="none"/>
              </w:rPr>
              <w:t>名称</w:t>
            </w:r>
          </w:p>
        </w:tc>
        <w:tc>
          <w:tcPr>
            <w:tcW w:w="2581" w:type="pct"/>
            <w:vAlign w:val="center"/>
          </w:tcPr>
          <w:p w14:paraId="6DD67833">
            <w:pPr>
              <w:pStyle w:val="23"/>
              <w:widowControl w:val="0"/>
              <w:snapToGrid w:val="0"/>
              <w:ind w:left="0" w:leftChars="0" w:right="0" w:rightChars="0" w:firstLine="0" w:firstLineChars="0"/>
              <w:jc w:val="center"/>
              <w:rPr>
                <w:rStyle w:val="29"/>
                <w:rFonts w:hint="eastAsia" w:ascii="宋体" w:hAnsi="宋体" w:eastAsia="宋体" w:cs="宋体"/>
                <w:b/>
                <w:bCs w:val="0"/>
                <w:color w:val="auto"/>
                <w:sz w:val="22"/>
                <w:szCs w:val="22"/>
                <w:highlight w:val="none"/>
                <w:lang w:val="en-US" w:eastAsia="zh-CN"/>
              </w:rPr>
            </w:pPr>
            <w:r>
              <w:rPr>
                <w:rStyle w:val="29"/>
                <w:rFonts w:hint="eastAsia" w:ascii="宋体" w:hAnsi="宋体" w:eastAsia="宋体" w:cs="宋体"/>
                <w:b/>
                <w:bCs w:val="0"/>
                <w:color w:val="auto"/>
                <w:sz w:val="22"/>
                <w:szCs w:val="22"/>
                <w:highlight w:val="none"/>
              </w:rPr>
              <w:t>型号或规格</w:t>
            </w:r>
          </w:p>
        </w:tc>
        <w:tc>
          <w:tcPr>
            <w:tcW w:w="455" w:type="pct"/>
            <w:vAlign w:val="center"/>
          </w:tcPr>
          <w:p w14:paraId="5785A716">
            <w:pPr>
              <w:pStyle w:val="23"/>
              <w:widowControl w:val="0"/>
              <w:snapToGrid w:val="0"/>
              <w:ind w:left="0" w:leftChars="0" w:right="0" w:rightChars="0" w:firstLine="0" w:firstLineChars="0"/>
              <w:jc w:val="center"/>
              <w:rPr>
                <w:rStyle w:val="29"/>
                <w:rFonts w:hint="eastAsia" w:ascii="宋体" w:hAnsi="宋体" w:eastAsia="宋体" w:cs="宋体"/>
                <w:b/>
                <w:bCs w:val="0"/>
                <w:color w:val="auto"/>
                <w:sz w:val="22"/>
                <w:szCs w:val="22"/>
                <w:highlight w:val="none"/>
              </w:rPr>
            </w:pPr>
            <w:r>
              <w:rPr>
                <w:rStyle w:val="29"/>
                <w:rFonts w:hint="eastAsia" w:ascii="宋体" w:hAnsi="宋体" w:eastAsia="宋体" w:cs="宋体"/>
                <w:b/>
                <w:bCs w:val="0"/>
                <w:color w:val="auto"/>
                <w:sz w:val="22"/>
                <w:szCs w:val="22"/>
                <w:highlight w:val="none"/>
              </w:rPr>
              <w:t>数量</w:t>
            </w:r>
          </w:p>
        </w:tc>
        <w:tc>
          <w:tcPr>
            <w:tcW w:w="548" w:type="pct"/>
            <w:vAlign w:val="center"/>
          </w:tcPr>
          <w:p w14:paraId="1D15E5DB">
            <w:pPr>
              <w:pStyle w:val="23"/>
              <w:widowControl w:val="0"/>
              <w:snapToGrid w:val="0"/>
              <w:spacing w:line="240" w:lineRule="auto"/>
              <w:ind w:left="0" w:leftChars="0" w:right="0" w:rightChars="0" w:firstLine="0" w:firstLineChars="0"/>
              <w:jc w:val="center"/>
              <w:rPr>
                <w:rStyle w:val="29"/>
                <w:rFonts w:hint="eastAsia" w:ascii="宋体" w:hAnsi="宋体" w:eastAsia="宋体" w:cs="宋体"/>
                <w:b/>
                <w:bCs w:val="0"/>
                <w:color w:val="auto"/>
                <w:sz w:val="22"/>
                <w:szCs w:val="22"/>
                <w:highlight w:val="none"/>
              </w:rPr>
            </w:pPr>
            <w:r>
              <w:rPr>
                <w:rStyle w:val="29"/>
                <w:rFonts w:hint="eastAsia" w:ascii="宋体" w:hAnsi="宋体" w:eastAsia="宋体" w:cs="宋体"/>
                <w:b/>
                <w:bCs w:val="0"/>
                <w:color w:val="auto"/>
                <w:sz w:val="22"/>
                <w:szCs w:val="22"/>
                <w:highlight w:val="none"/>
                <w:lang w:val="en-US" w:eastAsia="zh-CN"/>
              </w:rPr>
              <w:t>单位</w:t>
            </w:r>
          </w:p>
        </w:tc>
      </w:tr>
      <w:tr w14:paraId="32F4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gridSpan w:val="5"/>
            <w:vAlign w:val="center"/>
          </w:tcPr>
          <w:p w14:paraId="564769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小教室（19间）</w:t>
            </w:r>
          </w:p>
        </w:tc>
      </w:tr>
      <w:tr w14:paraId="03F2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411" w:type="pct"/>
            <w:vAlign w:val="center"/>
          </w:tcPr>
          <w:p w14:paraId="15B1DFFD">
            <w:pPr>
              <w:pStyle w:val="23"/>
              <w:widowControl w:val="0"/>
              <w:snapToGrid w:val="0"/>
              <w:ind w:left="0" w:leftChars="0" w:right="0" w:rightChars="0" w:firstLine="0" w:firstLineChars="0"/>
              <w:jc w:val="center"/>
              <w:rPr>
                <w:rStyle w:val="29"/>
                <w:rFonts w:hint="eastAsia" w:ascii="宋体" w:hAnsi="宋体" w:eastAsia="宋体" w:cs="宋体"/>
                <w:b w:val="0"/>
                <w:bCs w:val="0"/>
                <w:color w:val="auto"/>
                <w:sz w:val="22"/>
                <w:szCs w:val="22"/>
                <w:highlight w:val="none"/>
                <w:lang w:val="en-US" w:eastAsia="zh-CN"/>
              </w:rPr>
            </w:pPr>
            <w:r>
              <w:rPr>
                <w:rStyle w:val="29"/>
                <w:rFonts w:hint="eastAsia" w:ascii="宋体" w:hAnsi="宋体" w:eastAsia="宋体" w:cs="宋体"/>
                <w:b w:val="0"/>
                <w:bCs w:val="0"/>
                <w:color w:val="auto"/>
                <w:sz w:val="22"/>
                <w:szCs w:val="22"/>
                <w:highlight w:val="none"/>
                <w:lang w:val="en-US" w:eastAsia="zh-CN"/>
              </w:rPr>
              <w:t>1</w:t>
            </w:r>
          </w:p>
        </w:tc>
        <w:tc>
          <w:tcPr>
            <w:tcW w:w="1003" w:type="pct"/>
            <w:vAlign w:val="center"/>
          </w:tcPr>
          <w:p w14:paraId="6A90FF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可移动讲台</w:t>
            </w:r>
          </w:p>
        </w:tc>
        <w:tc>
          <w:tcPr>
            <w:tcW w:w="2581" w:type="pct"/>
            <w:vAlign w:val="top"/>
          </w:tcPr>
          <w:p w14:paraId="626A3869">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1、参考面板尺寸:715*495*18cm;</w:t>
            </w:r>
          </w:p>
          <w:p w14:paraId="365B972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2、支持升降功能(7lcm-110cm);</w:t>
            </w:r>
          </w:p>
          <w:p w14:paraId="5846F84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3、支持万向移动，支持抽屉收纳</w:t>
            </w:r>
          </w:p>
          <w:p w14:paraId="0CA7C521">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4、环保面板、弧角设计、H型全钢大脚支架设计，不低于50KG承重</w:t>
            </w:r>
          </w:p>
        </w:tc>
        <w:tc>
          <w:tcPr>
            <w:tcW w:w="455" w:type="pct"/>
            <w:vAlign w:val="center"/>
          </w:tcPr>
          <w:p w14:paraId="07DDD5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19</w:t>
            </w:r>
          </w:p>
        </w:tc>
        <w:tc>
          <w:tcPr>
            <w:tcW w:w="548" w:type="pct"/>
            <w:vAlign w:val="center"/>
          </w:tcPr>
          <w:p w14:paraId="555C39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张</w:t>
            </w:r>
          </w:p>
        </w:tc>
      </w:tr>
      <w:tr w14:paraId="0AB18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411" w:type="pct"/>
            <w:vAlign w:val="center"/>
          </w:tcPr>
          <w:p w14:paraId="7AD00DC0">
            <w:pPr>
              <w:pStyle w:val="23"/>
              <w:widowControl w:val="0"/>
              <w:snapToGrid w:val="0"/>
              <w:ind w:left="0" w:leftChars="0" w:right="0" w:rightChars="0" w:firstLine="0" w:firstLineChars="0"/>
              <w:jc w:val="center"/>
              <w:rPr>
                <w:rStyle w:val="29"/>
                <w:rFonts w:hint="eastAsia" w:ascii="宋体" w:hAnsi="宋体" w:eastAsia="宋体" w:cs="宋体"/>
                <w:b w:val="0"/>
                <w:bCs w:val="0"/>
                <w:color w:val="auto"/>
                <w:sz w:val="22"/>
                <w:szCs w:val="22"/>
                <w:highlight w:val="none"/>
                <w:lang w:val="en-US" w:eastAsia="zh-CN"/>
              </w:rPr>
            </w:pPr>
            <w:r>
              <w:rPr>
                <w:rStyle w:val="29"/>
                <w:rFonts w:hint="eastAsia" w:ascii="宋体" w:hAnsi="宋体" w:eastAsia="宋体" w:cs="宋体"/>
                <w:b w:val="0"/>
                <w:bCs w:val="0"/>
                <w:color w:val="auto"/>
                <w:sz w:val="22"/>
                <w:szCs w:val="22"/>
                <w:highlight w:val="none"/>
                <w:lang w:val="en-US" w:eastAsia="zh-CN"/>
              </w:rPr>
              <w:t>2</w:t>
            </w:r>
          </w:p>
        </w:tc>
        <w:tc>
          <w:tcPr>
            <w:tcW w:w="1003" w:type="pct"/>
            <w:vAlign w:val="center"/>
          </w:tcPr>
          <w:p w14:paraId="486137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可移动双人桌</w:t>
            </w:r>
          </w:p>
        </w:tc>
        <w:tc>
          <w:tcPr>
            <w:tcW w:w="2581" w:type="pct"/>
            <w:vAlign w:val="top"/>
          </w:tcPr>
          <w:p w14:paraId="5EAFA1B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1、参考尺寸:1200mm*400mm*750mm;</w:t>
            </w:r>
          </w:p>
          <w:p w14:paraId="7489FD4D">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2、基材:采用不低于E1刨花板，表面贴三聚氰胺;</w:t>
            </w:r>
          </w:p>
          <w:p w14:paraId="792701D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3、贴面:耐磨，不易变色;</w:t>
            </w:r>
          </w:p>
          <w:p w14:paraId="35D7752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4、五金:设计大方合理，稳重，结构简单，连接牢固;自主设计转接型材，外观简洁，使用方便;</w:t>
            </w:r>
          </w:p>
          <w:p w14:paraId="74A23F1F">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5、表面:光滑，有光泽，整体效果好;</w:t>
            </w:r>
          </w:p>
          <w:p w14:paraId="3FBF06C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6、封边:采用优质实木颗粒板为基材和PVC边，用热熔胶经不低于200°C高温压制于边部，有效防止水汽侵入;</w:t>
            </w:r>
          </w:p>
        </w:tc>
        <w:tc>
          <w:tcPr>
            <w:tcW w:w="455" w:type="pct"/>
            <w:vAlign w:val="center"/>
          </w:tcPr>
          <w:p w14:paraId="577C62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304</w:t>
            </w:r>
          </w:p>
        </w:tc>
        <w:tc>
          <w:tcPr>
            <w:tcW w:w="548" w:type="pct"/>
            <w:vAlign w:val="center"/>
          </w:tcPr>
          <w:p w14:paraId="3923280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张</w:t>
            </w:r>
          </w:p>
        </w:tc>
      </w:tr>
      <w:tr w14:paraId="10DF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411" w:type="pct"/>
            <w:vAlign w:val="center"/>
          </w:tcPr>
          <w:p w14:paraId="64128712">
            <w:pPr>
              <w:pStyle w:val="23"/>
              <w:widowControl w:val="0"/>
              <w:snapToGrid w:val="0"/>
              <w:ind w:left="0" w:leftChars="0" w:right="0" w:rightChars="0" w:firstLine="0" w:firstLineChars="0"/>
              <w:jc w:val="center"/>
              <w:rPr>
                <w:rStyle w:val="29"/>
                <w:rFonts w:hint="eastAsia" w:ascii="宋体" w:hAnsi="宋体" w:eastAsia="宋体" w:cs="宋体"/>
                <w:b w:val="0"/>
                <w:bCs w:val="0"/>
                <w:color w:val="auto"/>
                <w:sz w:val="22"/>
                <w:szCs w:val="22"/>
                <w:highlight w:val="none"/>
                <w:lang w:val="en-US" w:eastAsia="zh-CN"/>
              </w:rPr>
            </w:pPr>
            <w:r>
              <w:rPr>
                <w:rStyle w:val="29"/>
                <w:rFonts w:hint="eastAsia" w:ascii="宋体" w:hAnsi="宋体" w:eastAsia="宋体" w:cs="宋体"/>
                <w:b w:val="0"/>
                <w:bCs w:val="0"/>
                <w:color w:val="auto"/>
                <w:sz w:val="22"/>
                <w:szCs w:val="22"/>
                <w:highlight w:val="none"/>
                <w:lang w:val="en-US" w:eastAsia="zh-CN"/>
              </w:rPr>
              <w:t>3</w:t>
            </w:r>
          </w:p>
        </w:tc>
        <w:tc>
          <w:tcPr>
            <w:tcW w:w="1003" w:type="pct"/>
            <w:vAlign w:val="center"/>
          </w:tcPr>
          <w:p w14:paraId="08693C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可移动三人桌</w:t>
            </w:r>
          </w:p>
        </w:tc>
        <w:tc>
          <w:tcPr>
            <w:tcW w:w="2581" w:type="pct"/>
            <w:vAlign w:val="top"/>
          </w:tcPr>
          <w:p w14:paraId="2C4D8FC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1、参考尺寸:1800*400*750</w:t>
            </w:r>
          </w:p>
          <w:p w14:paraId="2AA5336F">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2、基材:采用不低于E1刨花板，表面贴三聚氰胺;</w:t>
            </w:r>
          </w:p>
          <w:p w14:paraId="19D62275">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3、贴面:耐磨，不易变色;</w:t>
            </w:r>
          </w:p>
          <w:p w14:paraId="430A079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4、五金:设计大方合理，稳重，结构简单，连接牢固;自主设计转接型材，外观简洁，使用方便;</w:t>
            </w:r>
          </w:p>
          <w:p w14:paraId="0846C765">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5、表面:光滑，有光泽，整体效果好;</w:t>
            </w:r>
          </w:p>
          <w:p w14:paraId="6ED7F4E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6、封边:采用优质实木颗粒板为基材和PVC边，用热熔胶经不低于200°C高温压制于边部，有效防止水汽侵入;</w:t>
            </w:r>
          </w:p>
        </w:tc>
        <w:tc>
          <w:tcPr>
            <w:tcW w:w="455" w:type="pct"/>
            <w:vAlign w:val="center"/>
          </w:tcPr>
          <w:p w14:paraId="067604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152</w:t>
            </w:r>
          </w:p>
        </w:tc>
        <w:tc>
          <w:tcPr>
            <w:tcW w:w="548" w:type="pct"/>
            <w:vAlign w:val="center"/>
          </w:tcPr>
          <w:p w14:paraId="3F26D8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张</w:t>
            </w:r>
          </w:p>
        </w:tc>
      </w:tr>
      <w:tr w14:paraId="5EAA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jc w:val="center"/>
        </w:trPr>
        <w:tc>
          <w:tcPr>
            <w:tcW w:w="411" w:type="pct"/>
            <w:vAlign w:val="center"/>
          </w:tcPr>
          <w:p w14:paraId="00382F0D">
            <w:pPr>
              <w:pStyle w:val="23"/>
              <w:widowControl w:val="0"/>
              <w:snapToGrid w:val="0"/>
              <w:ind w:left="0" w:leftChars="0" w:right="0" w:rightChars="0" w:firstLine="0" w:firstLineChars="0"/>
              <w:jc w:val="center"/>
              <w:rPr>
                <w:rStyle w:val="29"/>
                <w:rFonts w:hint="eastAsia" w:ascii="宋体" w:hAnsi="宋体" w:eastAsia="宋体" w:cs="宋体"/>
                <w:b w:val="0"/>
                <w:bCs w:val="0"/>
                <w:color w:val="auto"/>
                <w:sz w:val="22"/>
                <w:szCs w:val="22"/>
                <w:highlight w:val="none"/>
                <w:lang w:val="en-US" w:eastAsia="zh-CN"/>
              </w:rPr>
            </w:pPr>
            <w:r>
              <w:rPr>
                <w:rStyle w:val="29"/>
                <w:rFonts w:hint="eastAsia" w:ascii="宋体" w:hAnsi="宋体" w:eastAsia="宋体" w:cs="宋体"/>
                <w:b w:val="0"/>
                <w:bCs w:val="0"/>
                <w:color w:val="auto"/>
                <w:sz w:val="22"/>
                <w:szCs w:val="22"/>
                <w:highlight w:val="none"/>
                <w:lang w:val="en-US" w:eastAsia="zh-CN"/>
              </w:rPr>
              <w:t>4</w:t>
            </w:r>
          </w:p>
        </w:tc>
        <w:tc>
          <w:tcPr>
            <w:tcW w:w="1003" w:type="pct"/>
            <w:vAlign w:val="center"/>
          </w:tcPr>
          <w:p w14:paraId="23457B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学生座椅</w:t>
            </w:r>
          </w:p>
        </w:tc>
        <w:tc>
          <w:tcPr>
            <w:tcW w:w="2581" w:type="pct"/>
            <w:vAlign w:val="top"/>
          </w:tcPr>
          <w:p w14:paraId="4D00BEA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1、胶背采用全选PP加纤，厚度7mm，一体注塑成型。表面防水，易清洁，坐感舒适，靠背带孔设计，方便单手移动，拉力不低于108KG，承重不低于130KG;</w:t>
            </w:r>
          </w:p>
          <w:p w14:paraId="73AB270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2、电镀钢架一体成型PP椅座;</w:t>
            </w:r>
          </w:p>
          <w:p w14:paraId="5986495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3、细砂粉喷12mm实心钢材雪橇架，配双排扣脚垫，表面酸洗电镀处理;</w:t>
            </w:r>
          </w:p>
          <w:p w14:paraId="5A4A136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4、胶背:根据教室现场环境搭配。</w:t>
            </w:r>
          </w:p>
        </w:tc>
        <w:tc>
          <w:tcPr>
            <w:tcW w:w="455" w:type="pct"/>
            <w:vAlign w:val="center"/>
          </w:tcPr>
          <w:p w14:paraId="0CF4BB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1064</w:t>
            </w:r>
          </w:p>
        </w:tc>
        <w:tc>
          <w:tcPr>
            <w:tcW w:w="548" w:type="pct"/>
            <w:vAlign w:val="center"/>
          </w:tcPr>
          <w:p w14:paraId="157F57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张</w:t>
            </w:r>
          </w:p>
        </w:tc>
      </w:tr>
      <w:tr w14:paraId="4480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gridSpan w:val="5"/>
            <w:vAlign w:val="center"/>
          </w:tcPr>
          <w:p w14:paraId="04A5CA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大教室（4间）</w:t>
            </w:r>
          </w:p>
        </w:tc>
      </w:tr>
      <w:tr w14:paraId="54B7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411" w:type="pct"/>
            <w:vAlign w:val="center"/>
          </w:tcPr>
          <w:p w14:paraId="2390978A">
            <w:pPr>
              <w:pStyle w:val="23"/>
              <w:widowControl w:val="0"/>
              <w:snapToGrid w:val="0"/>
              <w:ind w:left="0" w:leftChars="0" w:right="0" w:rightChars="0" w:firstLine="0" w:firstLineChars="0"/>
              <w:jc w:val="center"/>
              <w:rPr>
                <w:rStyle w:val="29"/>
                <w:rFonts w:hint="eastAsia" w:ascii="宋体" w:hAnsi="宋体" w:eastAsia="宋体" w:cs="宋体"/>
                <w:b w:val="0"/>
                <w:bCs w:val="0"/>
                <w:color w:val="auto"/>
                <w:sz w:val="22"/>
                <w:szCs w:val="22"/>
                <w:highlight w:val="none"/>
                <w:lang w:val="en-US" w:eastAsia="zh-CN"/>
              </w:rPr>
            </w:pPr>
            <w:r>
              <w:rPr>
                <w:rStyle w:val="29"/>
                <w:rFonts w:hint="eastAsia" w:ascii="宋体" w:hAnsi="宋体" w:eastAsia="宋体" w:cs="宋体"/>
                <w:b w:val="0"/>
                <w:bCs w:val="0"/>
                <w:color w:val="auto"/>
                <w:sz w:val="22"/>
                <w:szCs w:val="22"/>
                <w:highlight w:val="none"/>
                <w:lang w:val="en-US" w:eastAsia="zh-CN"/>
              </w:rPr>
              <w:t>1</w:t>
            </w:r>
          </w:p>
        </w:tc>
        <w:tc>
          <w:tcPr>
            <w:tcW w:w="1003" w:type="pct"/>
            <w:vAlign w:val="center"/>
          </w:tcPr>
          <w:p w14:paraId="10E537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可移动讲台</w:t>
            </w:r>
          </w:p>
        </w:tc>
        <w:tc>
          <w:tcPr>
            <w:tcW w:w="2581" w:type="pct"/>
            <w:vAlign w:val="top"/>
          </w:tcPr>
          <w:p w14:paraId="65C0C60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1、参考面板尺寸:715*495*18cm;</w:t>
            </w:r>
          </w:p>
          <w:p w14:paraId="36D366F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2、支持升降功能(7lcm-110cm);</w:t>
            </w:r>
          </w:p>
          <w:p w14:paraId="0C60D72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3、支持万向移动，支持抽屉收纳</w:t>
            </w:r>
          </w:p>
          <w:p w14:paraId="0886E79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4、环保面板、弧角设计、H型全钢大脚支架设计，不低于50KG承重</w:t>
            </w:r>
          </w:p>
        </w:tc>
        <w:tc>
          <w:tcPr>
            <w:tcW w:w="455" w:type="pct"/>
            <w:vAlign w:val="center"/>
          </w:tcPr>
          <w:p w14:paraId="1F5388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w:t>
            </w:r>
          </w:p>
        </w:tc>
        <w:tc>
          <w:tcPr>
            <w:tcW w:w="548" w:type="pct"/>
            <w:vAlign w:val="center"/>
          </w:tcPr>
          <w:p w14:paraId="7A62B5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张</w:t>
            </w:r>
          </w:p>
        </w:tc>
      </w:tr>
      <w:tr w14:paraId="655C9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411" w:type="pct"/>
            <w:vAlign w:val="center"/>
          </w:tcPr>
          <w:p w14:paraId="290A9021">
            <w:pPr>
              <w:pStyle w:val="23"/>
              <w:widowControl w:val="0"/>
              <w:snapToGrid w:val="0"/>
              <w:ind w:left="0" w:leftChars="0" w:right="0" w:rightChars="0" w:firstLine="0" w:firstLineChars="0"/>
              <w:jc w:val="center"/>
              <w:rPr>
                <w:rStyle w:val="29"/>
                <w:rFonts w:hint="eastAsia" w:ascii="宋体" w:hAnsi="宋体" w:eastAsia="宋体" w:cs="宋体"/>
                <w:b w:val="0"/>
                <w:bCs w:val="0"/>
                <w:color w:val="auto"/>
                <w:sz w:val="22"/>
                <w:szCs w:val="22"/>
                <w:highlight w:val="none"/>
                <w:lang w:val="en-US" w:eastAsia="zh-CN"/>
              </w:rPr>
            </w:pPr>
            <w:r>
              <w:rPr>
                <w:rStyle w:val="29"/>
                <w:rFonts w:hint="eastAsia" w:ascii="宋体" w:hAnsi="宋体" w:eastAsia="宋体" w:cs="宋体"/>
                <w:b w:val="0"/>
                <w:bCs w:val="0"/>
                <w:color w:val="auto"/>
                <w:sz w:val="22"/>
                <w:szCs w:val="22"/>
                <w:highlight w:val="none"/>
                <w:lang w:val="en-US" w:eastAsia="zh-CN"/>
              </w:rPr>
              <w:t>2</w:t>
            </w:r>
          </w:p>
        </w:tc>
        <w:tc>
          <w:tcPr>
            <w:tcW w:w="1003" w:type="pct"/>
            <w:vAlign w:val="center"/>
          </w:tcPr>
          <w:p w14:paraId="2A3FCE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可移动双人桌</w:t>
            </w:r>
          </w:p>
        </w:tc>
        <w:tc>
          <w:tcPr>
            <w:tcW w:w="2581" w:type="pct"/>
            <w:vAlign w:val="top"/>
          </w:tcPr>
          <w:p w14:paraId="345E1DFF">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1、参考尺寸:1200mm*400mm*750mm;</w:t>
            </w:r>
          </w:p>
          <w:p w14:paraId="525BF25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2、基材:采用不低于E1刨花板，表面贴三聚氰胺;</w:t>
            </w:r>
          </w:p>
          <w:p w14:paraId="26CEEBB6">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3、贴面:耐磨，不易变色;</w:t>
            </w:r>
          </w:p>
          <w:p w14:paraId="6C8D3C46">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4、五金:设计大方合理，稳重，结构简单，连接牢固;自主设计转接型材，外观简洁，使用方便;</w:t>
            </w:r>
          </w:p>
          <w:p w14:paraId="50BB375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5、表面:光滑，有光泽，整体效果好;</w:t>
            </w:r>
          </w:p>
          <w:p w14:paraId="2B6859C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6、封边:采用优质实木颗粒板为基材和PVC边，用热熔胶经不低于200°C高温压制于边部，有效防止水汽侵入;</w:t>
            </w:r>
          </w:p>
        </w:tc>
        <w:tc>
          <w:tcPr>
            <w:tcW w:w="455" w:type="pct"/>
            <w:vAlign w:val="center"/>
          </w:tcPr>
          <w:p w14:paraId="639E32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224</w:t>
            </w:r>
          </w:p>
        </w:tc>
        <w:tc>
          <w:tcPr>
            <w:tcW w:w="548" w:type="pct"/>
            <w:vAlign w:val="center"/>
          </w:tcPr>
          <w:p w14:paraId="7BFE5E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张</w:t>
            </w:r>
          </w:p>
        </w:tc>
      </w:tr>
      <w:tr w14:paraId="6FAA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411" w:type="pct"/>
            <w:vAlign w:val="center"/>
          </w:tcPr>
          <w:p w14:paraId="0C36E62E">
            <w:pPr>
              <w:pStyle w:val="23"/>
              <w:widowControl w:val="0"/>
              <w:snapToGrid w:val="0"/>
              <w:ind w:left="0" w:leftChars="0" w:right="0" w:rightChars="0" w:firstLine="0" w:firstLineChars="0"/>
              <w:jc w:val="center"/>
              <w:rPr>
                <w:rStyle w:val="29"/>
                <w:rFonts w:hint="eastAsia" w:ascii="宋体" w:hAnsi="宋体" w:eastAsia="宋体" w:cs="宋体"/>
                <w:b w:val="0"/>
                <w:bCs w:val="0"/>
                <w:color w:val="auto"/>
                <w:sz w:val="22"/>
                <w:szCs w:val="22"/>
                <w:highlight w:val="none"/>
                <w:lang w:val="en-US" w:eastAsia="zh-CN"/>
              </w:rPr>
            </w:pPr>
            <w:r>
              <w:rPr>
                <w:rStyle w:val="29"/>
                <w:rFonts w:hint="eastAsia" w:ascii="宋体" w:hAnsi="宋体" w:eastAsia="宋体" w:cs="宋体"/>
                <w:b w:val="0"/>
                <w:bCs w:val="0"/>
                <w:color w:val="auto"/>
                <w:sz w:val="22"/>
                <w:szCs w:val="22"/>
                <w:highlight w:val="none"/>
                <w:lang w:val="en-US" w:eastAsia="zh-CN"/>
              </w:rPr>
              <w:t>3</w:t>
            </w:r>
          </w:p>
        </w:tc>
        <w:tc>
          <w:tcPr>
            <w:tcW w:w="1003" w:type="pct"/>
            <w:vAlign w:val="center"/>
          </w:tcPr>
          <w:p w14:paraId="3BA3F4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学生座椅</w:t>
            </w:r>
          </w:p>
        </w:tc>
        <w:tc>
          <w:tcPr>
            <w:tcW w:w="2581" w:type="pct"/>
            <w:vAlign w:val="top"/>
          </w:tcPr>
          <w:p w14:paraId="69C75FF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1、胶背采用全选PP加纤，厚度7mm，一体注塑成型。表面防水，易清洁，坐感舒适，靠背带孔设计，方便单手移动，拉力不低于108KG，承重不低于130KG;</w:t>
            </w:r>
          </w:p>
          <w:p w14:paraId="67ABC18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2、电镀钢架一体成型PP椅座;</w:t>
            </w:r>
          </w:p>
          <w:p w14:paraId="57602F6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3、细砂粉喷12mm实心钢材雪橇架，配双排扣脚垫，表面酸洗电镀处理;</w:t>
            </w:r>
          </w:p>
          <w:p w14:paraId="777461E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4、胶背:根据教室现场环境搭配。</w:t>
            </w:r>
          </w:p>
        </w:tc>
        <w:tc>
          <w:tcPr>
            <w:tcW w:w="455" w:type="pct"/>
            <w:vAlign w:val="center"/>
          </w:tcPr>
          <w:p w14:paraId="2D5668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448</w:t>
            </w:r>
          </w:p>
        </w:tc>
        <w:tc>
          <w:tcPr>
            <w:tcW w:w="548" w:type="pct"/>
            <w:vAlign w:val="center"/>
          </w:tcPr>
          <w:p w14:paraId="298F72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张</w:t>
            </w:r>
          </w:p>
        </w:tc>
      </w:tr>
    </w:tbl>
    <w:p w14:paraId="5E5D3015">
      <w:pPr>
        <w:numPr>
          <w:ilvl w:val="0"/>
          <w:numId w:val="21"/>
        </w:numPr>
        <w:shd w:val="clear" w:color="auto" w:fill="auto"/>
        <w:spacing w:line="360" w:lineRule="auto"/>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商务要求：</w:t>
      </w:r>
    </w:p>
    <w:p w14:paraId="1D314FBA">
      <w:pPr>
        <w:shd w:val="clear" w:color="auto" w:fill="auto"/>
        <w:snapToGrid w:val="0"/>
        <w:spacing w:line="360" w:lineRule="auto"/>
        <w:ind w:firstLine="442" w:firstLineChars="200"/>
        <w:rPr>
          <w:rFonts w:hint="eastAsia" w:ascii="宋体" w:hAnsi="宋体" w:cs="宋体"/>
          <w:color w:val="auto"/>
          <w:sz w:val="22"/>
          <w:szCs w:val="22"/>
          <w:highlight w:val="none"/>
        </w:rPr>
      </w:pPr>
      <w:r>
        <w:rPr>
          <w:rFonts w:hint="eastAsia" w:ascii="宋体" w:hAnsi="宋体" w:eastAsia="宋体" w:cs="宋体"/>
          <w:b/>
          <w:bCs/>
          <w:color w:val="auto"/>
          <w:sz w:val="22"/>
          <w:szCs w:val="22"/>
          <w:highlight w:val="none"/>
          <w:lang w:val="en-US" w:eastAsia="zh-CN"/>
        </w:rPr>
        <w:t xml:space="preserve"> </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要向采购人支付合同总价</w:t>
      </w:r>
      <w:r>
        <w:rPr>
          <w:rFonts w:hint="eastAsia" w:ascii="宋体" w:hAnsi="宋体" w:cs="宋体"/>
          <w:color w:val="auto"/>
          <w:sz w:val="22"/>
          <w:szCs w:val="22"/>
          <w:highlight w:val="none"/>
          <w:lang w:val="en-US" w:eastAsia="zh-CN"/>
        </w:rPr>
        <w:t>2.5%</w:t>
      </w:r>
      <w:r>
        <w:rPr>
          <w:rFonts w:hint="eastAsia" w:ascii="宋体" w:hAnsi="宋体" w:cs="宋体"/>
          <w:color w:val="auto"/>
          <w:sz w:val="22"/>
          <w:szCs w:val="22"/>
          <w:highlight w:val="none"/>
        </w:rPr>
        <w:t>的履约保证金，作为</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认真履行合同条款的保证。</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 xml:space="preserve">没有履行合同项下约定的义务和责任所需承担的违约金、赔偿金及其他费用，采购人有权直接从履约保证金中扣除，履约保证金中不足以扣除的，采购人有权从任何一笔合同价款中扣除。履约保证金自项目验收合格后 </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5个工作日内由采购人无息返还给</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w:t>
      </w:r>
    </w:p>
    <w:p w14:paraId="7CF8BCC7">
      <w:pPr>
        <w:shd w:val="clear" w:color="auto" w:fill="auto"/>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在履约完毕并经验收后，采购人将对其服务态度和产品质量进行评价，若经采购人评价为采购商品质量差、服务态度差的，采购人将暂不予以支付货款，待纠纷解决后再根据具体情况予以支付。</w:t>
      </w:r>
    </w:p>
    <w:p w14:paraId="3828704D">
      <w:pPr>
        <w:shd w:val="clear" w:color="auto" w:fill="auto"/>
        <w:snapToGrid w:val="0"/>
        <w:spacing w:line="360" w:lineRule="auto"/>
        <w:ind w:firstLine="440" w:firstLineChars="2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交货时间为</w:t>
      </w:r>
      <w:r>
        <w:rPr>
          <w:rFonts w:hint="eastAsia" w:ascii="宋体" w:hAnsi="宋体" w:cs="宋体"/>
          <w:color w:val="auto"/>
          <w:sz w:val="22"/>
          <w:szCs w:val="22"/>
          <w:highlight w:val="none"/>
          <w:lang w:val="en-US" w:eastAsia="zh-CN"/>
        </w:rPr>
        <w:t>合同签订后45个</w:t>
      </w:r>
      <w:r>
        <w:rPr>
          <w:rFonts w:hint="eastAsia" w:ascii="宋体" w:hAnsi="宋体" w:cs="宋体"/>
          <w:color w:val="auto"/>
          <w:sz w:val="22"/>
          <w:szCs w:val="22"/>
          <w:highlight w:val="none"/>
        </w:rPr>
        <w:t>日历天内完成交付</w:t>
      </w:r>
      <w:r>
        <w:rPr>
          <w:rFonts w:hint="eastAsia" w:ascii="宋体" w:hAnsi="宋体" w:cs="宋体"/>
          <w:color w:val="auto"/>
          <w:sz w:val="22"/>
          <w:szCs w:val="22"/>
          <w:highlight w:val="none"/>
          <w:lang w:eastAsia="zh-CN"/>
        </w:rPr>
        <w:t>。</w:t>
      </w:r>
    </w:p>
    <w:p w14:paraId="523377C1">
      <w:pPr>
        <w:shd w:val="clear" w:color="auto" w:fill="auto"/>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项目质保期要求：</w:t>
      </w:r>
      <w:r>
        <w:rPr>
          <w:rFonts w:hint="eastAsia" w:ascii="宋体" w:hAnsi="宋体" w:cs="宋体"/>
          <w:color w:val="auto"/>
          <w:sz w:val="22"/>
          <w:szCs w:val="22"/>
          <w:highlight w:val="none"/>
          <w:lang w:val="en-US" w:eastAsia="zh-CN"/>
        </w:rPr>
        <w:t>不少于5</w:t>
      </w:r>
      <w:r>
        <w:rPr>
          <w:rFonts w:hint="eastAsia" w:ascii="宋体" w:hAnsi="宋体" w:cs="宋体"/>
          <w:color w:val="auto"/>
          <w:sz w:val="22"/>
          <w:szCs w:val="22"/>
          <w:highlight w:val="none"/>
        </w:rPr>
        <w:t>年免费保修。</w:t>
      </w:r>
    </w:p>
    <w:p w14:paraId="37754AAB">
      <w:pPr>
        <w:shd w:val="clear" w:color="auto" w:fill="auto"/>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5.</w:t>
      </w:r>
      <w:r>
        <w:rPr>
          <w:rFonts w:hint="eastAsia" w:ascii="宋体" w:hAnsi="宋体" w:cs="宋体"/>
          <w:color w:val="auto"/>
          <w:sz w:val="22"/>
          <w:szCs w:val="22"/>
          <w:highlight w:val="none"/>
        </w:rPr>
        <w:t>售后技术服务要求：质保期内免费保修上门服务；质保期内出现故障，在接到电话后</w:t>
      </w: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小时内响应，24小时内到现场，48小时内解决问题（若质保期内免费保修上门服务时间不能保证，相应延迟质保期时间），对不能及时解决问题的，须提供相应的</w:t>
      </w:r>
      <w:r>
        <w:rPr>
          <w:rFonts w:hint="eastAsia" w:ascii="宋体" w:hAnsi="宋体" w:cs="宋体"/>
          <w:color w:val="auto"/>
          <w:sz w:val="22"/>
          <w:szCs w:val="22"/>
          <w:highlight w:val="none"/>
          <w:lang w:val="en-US" w:eastAsia="zh-CN"/>
        </w:rPr>
        <w:t>备件</w:t>
      </w:r>
      <w:r>
        <w:rPr>
          <w:rFonts w:hint="eastAsia" w:ascii="宋体" w:hAnsi="宋体" w:cs="宋体"/>
          <w:color w:val="auto"/>
          <w:sz w:val="22"/>
          <w:szCs w:val="22"/>
          <w:highlight w:val="none"/>
        </w:rPr>
        <w:t>供用户使用。</w:t>
      </w:r>
    </w:p>
    <w:p w14:paraId="31FE73FB">
      <w:pPr>
        <w:shd w:val="clear" w:color="auto" w:fill="auto"/>
        <w:snapToGrid/>
        <w:spacing w:line="336"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6.</w:t>
      </w:r>
      <w:r>
        <w:rPr>
          <w:rFonts w:hint="eastAsia" w:ascii="宋体" w:hAnsi="宋体" w:cs="宋体"/>
          <w:color w:val="auto"/>
          <w:sz w:val="22"/>
          <w:szCs w:val="22"/>
          <w:highlight w:val="none"/>
        </w:rPr>
        <w:t>付款方式：</w:t>
      </w:r>
      <w:r>
        <w:rPr>
          <w:rFonts w:hint="eastAsia" w:ascii="宋体" w:hAnsi="宋体" w:eastAsia="宋体" w:cs="宋体"/>
          <w:color w:val="auto"/>
          <w:sz w:val="22"/>
          <w:szCs w:val="22"/>
          <w:highlight w:val="none"/>
        </w:rPr>
        <w:t>在合同签订时，</w:t>
      </w:r>
      <w:r>
        <w:rPr>
          <w:rFonts w:hint="eastAsia" w:ascii="宋体" w:hAnsi="宋体" w:eastAsia="宋体" w:cs="宋体"/>
          <w:color w:val="auto"/>
          <w:sz w:val="22"/>
          <w:szCs w:val="22"/>
          <w:highlight w:val="none"/>
          <w:lang w:val="en-US" w:eastAsia="zh-CN"/>
        </w:rPr>
        <w:t>乙</w:t>
      </w:r>
      <w:r>
        <w:rPr>
          <w:rFonts w:hint="eastAsia" w:ascii="宋体" w:hAnsi="宋体" w:eastAsia="宋体" w:cs="宋体"/>
          <w:color w:val="auto"/>
          <w:sz w:val="22"/>
          <w:szCs w:val="22"/>
          <w:highlight w:val="none"/>
        </w:rPr>
        <w:t>方须向买方提供合同金额</w:t>
      </w:r>
      <w:r>
        <w:rPr>
          <w:rFonts w:hint="eastAsia" w:ascii="宋体" w:hAnsi="宋体" w:cs="宋体"/>
          <w:color w:val="auto"/>
          <w:sz w:val="22"/>
          <w:szCs w:val="22"/>
          <w:highlight w:val="none"/>
          <w:lang w:val="en-US" w:eastAsia="zh-CN"/>
        </w:rPr>
        <w:t>2.5%</w:t>
      </w:r>
      <w:r>
        <w:rPr>
          <w:rFonts w:hint="eastAsia" w:ascii="宋体" w:hAnsi="宋体" w:eastAsia="宋体" w:cs="宋体"/>
          <w:color w:val="auto"/>
          <w:sz w:val="22"/>
          <w:szCs w:val="22"/>
          <w:highlight w:val="none"/>
        </w:rPr>
        <w:t>的履约保证金，合同在</w:t>
      </w:r>
      <w:r>
        <w:rPr>
          <w:rFonts w:hint="eastAsia" w:ascii="宋体" w:hAnsi="宋体" w:eastAsia="宋体" w:cs="宋体"/>
          <w:color w:val="auto"/>
          <w:sz w:val="22"/>
          <w:szCs w:val="22"/>
          <w:highlight w:val="none"/>
          <w:lang w:val="en-US" w:eastAsia="zh-CN"/>
        </w:rPr>
        <w:t>甲</w:t>
      </w:r>
      <w:r>
        <w:rPr>
          <w:rFonts w:hint="eastAsia" w:ascii="宋体" w:hAnsi="宋体" w:eastAsia="宋体" w:cs="宋体"/>
          <w:color w:val="auto"/>
          <w:sz w:val="22"/>
          <w:szCs w:val="22"/>
          <w:highlight w:val="none"/>
        </w:rPr>
        <w:t>方收到</w:t>
      </w:r>
      <w:r>
        <w:rPr>
          <w:rFonts w:hint="eastAsia" w:ascii="宋体" w:hAnsi="宋体" w:eastAsia="宋体" w:cs="宋体"/>
          <w:color w:val="auto"/>
          <w:sz w:val="22"/>
          <w:szCs w:val="22"/>
          <w:highlight w:val="none"/>
          <w:lang w:val="en-US" w:eastAsia="zh-CN"/>
        </w:rPr>
        <w:t>乙</w:t>
      </w:r>
      <w:r>
        <w:rPr>
          <w:rFonts w:hint="eastAsia" w:ascii="宋体" w:hAnsi="宋体" w:eastAsia="宋体" w:cs="宋体"/>
          <w:color w:val="auto"/>
          <w:sz w:val="22"/>
          <w:szCs w:val="22"/>
          <w:highlight w:val="none"/>
        </w:rPr>
        <w:t>方提交的履约保证金后生效；合同签订并生效</w:t>
      </w:r>
      <w:r>
        <w:rPr>
          <w:rFonts w:hint="eastAsia" w:ascii="宋体" w:hAnsi="宋体" w:cs="宋体"/>
          <w:color w:val="auto"/>
          <w:sz w:val="22"/>
          <w:szCs w:val="22"/>
          <w:highlight w:val="none"/>
          <w:lang w:val="en-US" w:eastAsia="zh-CN"/>
        </w:rPr>
        <w:t>且货到现场后15个工作日内</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甲</w:t>
      </w:r>
      <w:r>
        <w:rPr>
          <w:rFonts w:hint="eastAsia" w:ascii="宋体" w:hAnsi="宋体" w:eastAsia="宋体" w:cs="宋体"/>
          <w:color w:val="auto"/>
          <w:sz w:val="22"/>
          <w:szCs w:val="22"/>
          <w:highlight w:val="none"/>
        </w:rPr>
        <w:t>方向</w:t>
      </w:r>
      <w:r>
        <w:rPr>
          <w:rFonts w:hint="eastAsia" w:ascii="宋体" w:hAnsi="宋体" w:eastAsia="宋体" w:cs="宋体"/>
          <w:color w:val="auto"/>
          <w:sz w:val="22"/>
          <w:szCs w:val="22"/>
          <w:highlight w:val="none"/>
          <w:lang w:val="en-US" w:eastAsia="zh-CN"/>
        </w:rPr>
        <w:t>乙</w:t>
      </w:r>
      <w:r>
        <w:rPr>
          <w:rFonts w:hint="eastAsia" w:ascii="宋体" w:hAnsi="宋体" w:eastAsia="宋体" w:cs="宋体"/>
          <w:color w:val="auto"/>
          <w:sz w:val="22"/>
          <w:szCs w:val="22"/>
          <w:highlight w:val="none"/>
        </w:rPr>
        <w:t>方支付合同价款的30%作为预付款，</w:t>
      </w:r>
      <w:r>
        <w:rPr>
          <w:rFonts w:hint="eastAsia" w:ascii="宋体" w:hAnsi="宋体" w:eastAsia="宋体" w:cs="宋体"/>
          <w:color w:val="auto"/>
          <w:sz w:val="22"/>
          <w:szCs w:val="22"/>
          <w:highlight w:val="none"/>
          <w:lang w:val="en-US" w:eastAsia="zh-CN"/>
        </w:rPr>
        <w:t>乙</w:t>
      </w:r>
      <w:r>
        <w:rPr>
          <w:rFonts w:hint="eastAsia" w:ascii="宋体" w:hAnsi="宋体" w:eastAsia="宋体" w:cs="宋体"/>
          <w:color w:val="auto"/>
          <w:sz w:val="22"/>
          <w:szCs w:val="22"/>
          <w:highlight w:val="none"/>
        </w:rPr>
        <w:t>方完成全部货物的生产、运输、安装、调试并通过最终验收后15个工作日内，同时履约保证金转换为质量保证金。乙方依约履行上述义务后，甲方收到乙方开具的发票后30天内向乙方支付合同总额70%的货款（</w:t>
      </w:r>
      <w:r>
        <w:rPr>
          <w:rFonts w:hint="eastAsia" w:ascii="宋体" w:hAnsi="宋体" w:eastAsia="宋体" w:cs="宋体"/>
          <w:color w:val="auto"/>
          <w:sz w:val="22"/>
          <w:szCs w:val="22"/>
          <w:highlight w:val="none"/>
          <w:lang w:val="en-US" w:eastAsia="zh-CN"/>
        </w:rPr>
        <w:t>乙</w:t>
      </w:r>
      <w:r>
        <w:rPr>
          <w:rFonts w:hint="eastAsia" w:ascii="宋体" w:hAnsi="宋体" w:eastAsia="宋体" w:cs="宋体"/>
          <w:color w:val="auto"/>
          <w:sz w:val="22"/>
          <w:szCs w:val="22"/>
          <w:highlight w:val="none"/>
        </w:rPr>
        <w:t>方必须开具与合同金额相等的正规有效的增值税普通发票）。</w:t>
      </w:r>
      <w:r>
        <w:rPr>
          <w:rFonts w:hint="eastAsia" w:ascii="宋体" w:hAnsi="宋体" w:cs="宋体"/>
          <w:color w:val="auto"/>
          <w:sz w:val="22"/>
          <w:szCs w:val="22"/>
          <w:highlight w:val="none"/>
          <w:lang w:val="en-US" w:eastAsia="zh-CN"/>
        </w:rPr>
        <w:t>质量</w:t>
      </w:r>
      <w:r>
        <w:rPr>
          <w:rFonts w:hint="eastAsia" w:ascii="宋体" w:hAnsi="宋体" w:eastAsia="宋体" w:cs="宋体"/>
          <w:color w:val="auto"/>
          <w:sz w:val="22"/>
          <w:szCs w:val="22"/>
          <w:highlight w:val="none"/>
        </w:rPr>
        <w:t>保证金待质保期满后无质量问题15个工作日内一次性无息退还。</w:t>
      </w:r>
    </w:p>
    <w:p w14:paraId="091EA73A">
      <w:pPr>
        <w:shd w:val="clear" w:color="auto" w:fill="auto"/>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7.</w:t>
      </w:r>
      <w:r>
        <w:rPr>
          <w:rFonts w:hint="eastAsia" w:ascii="宋体" w:hAnsi="宋体" w:cs="宋体"/>
          <w:color w:val="auto"/>
          <w:sz w:val="22"/>
          <w:szCs w:val="22"/>
          <w:highlight w:val="none"/>
        </w:rPr>
        <w:t>供货（安装）地点要求：浙江东方职业技术学院</w:t>
      </w:r>
      <w:r>
        <w:rPr>
          <w:rFonts w:hint="eastAsia" w:ascii="宋体" w:hAnsi="宋体" w:cs="宋体"/>
          <w:color w:val="auto"/>
          <w:sz w:val="22"/>
          <w:szCs w:val="22"/>
          <w:highlight w:val="none"/>
          <w:lang w:val="en-US" w:eastAsia="zh-CN"/>
        </w:rPr>
        <w:t>指定地点</w:t>
      </w:r>
      <w:r>
        <w:rPr>
          <w:rFonts w:hint="eastAsia" w:ascii="宋体" w:hAnsi="宋体" w:cs="宋体"/>
          <w:color w:val="auto"/>
          <w:sz w:val="22"/>
          <w:szCs w:val="22"/>
          <w:highlight w:val="none"/>
        </w:rPr>
        <w:t>。</w:t>
      </w:r>
      <w:bookmarkStart w:id="127" w:name="_Toc2703"/>
    </w:p>
    <w:p w14:paraId="40DE95A6">
      <w:pPr>
        <w:keepNext/>
        <w:keepLines/>
        <w:shd w:val="clear" w:color="auto" w:fill="auto"/>
        <w:spacing w:before="120" w:beforeLines="50" w:after="120" w:afterLines="50" w:line="360" w:lineRule="auto"/>
        <w:outlineLvl w:val="2"/>
        <w:rPr>
          <w:rFonts w:hint="eastAsia" w:ascii="宋体" w:hAnsi="宋体" w:cs="宋体"/>
          <w:b/>
          <w:bCs/>
          <w:color w:val="auto"/>
          <w:sz w:val="22"/>
          <w:szCs w:val="22"/>
          <w:highlight w:val="none"/>
        </w:rPr>
      </w:pPr>
      <w:bookmarkStart w:id="128" w:name="_Toc23496"/>
      <w:bookmarkStart w:id="129" w:name="_Toc9133"/>
      <w:r>
        <w:rPr>
          <w:rFonts w:hint="eastAsia" w:ascii="宋体" w:hAnsi="宋体" w:cs="宋体"/>
          <w:b/>
          <w:bCs/>
          <w:color w:val="auto"/>
          <w:sz w:val="22"/>
          <w:szCs w:val="22"/>
          <w:highlight w:val="none"/>
          <w:lang w:val="en-US" w:eastAsia="zh-CN"/>
        </w:rPr>
        <w:t>五</w:t>
      </w:r>
      <w:r>
        <w:rPr>
          <w:rFonts w:hint="eastAsia" w:ascii="宋体" w:hAnsi="宋体" w:cs="宋体"/>
          <w:b/>
          <w:bCs/>
          <w:color w:val="auto"/>
          <w:sz w:val="22"/>
          <w:szCs w:val="22"/>
          <w:highlight w:val="none"/>
        </w:rPr>
        <w:t>、安装、调试、验收要求</w:t>
      </w:r>
      <w:bookmarkEnd w:id="127"/>
      <w:bookmarkEnd w:id="128"/>
      <w:bookmarkEnd w:id="129"/>
    </w:p>
    <w:p w14:paraId="6E095247">
      <w:pPr>
        <w:shd w:val="clear" w:color="auto" w:fill="auto"/>
        <w:snapToGrid w:val="0"/>
        <w:spacing w:line="360" w:lineRule="auto"/>
        <w:ind w:firstLine="48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 xml:space="preserve"> 安装要求：按照采购人所提供的安装地点将所供</w:t>
      </w:r>
      <w:r>
        <w:rPr>
          <w:rFonts w:hint="eastAsia" w:ascii="宋体" w:hAnsi="宋体" w:cs="宋体"/>
          <w:color w:val="auto"/>
          <w:sz w:val="22"/>
          <w:szCs w:val="22"/>
          <w:highlight w:val="none"/>
          <w:lang w:val="en-US" w:eastAsia="zh-CN"/>
        </w:rPr>
        <w:t>产品</w:t>
      </w:r>
      <w:r>
        <w:rPr>
          <w:rFonts w:hint="eastAsia" w:ascii="宋体" w:hAnsi="宋体" w:cs="宋体"/>
          <w:color w:val="auto"/>
          <w:sz w:val="22"/>
          <w:szCs w:val="22"/>
          <w:highlight w:val="none"/>
        </w:rPr>
        <w:t>（出厂原包装）运至指定地点拆箱，负责安装</w:t>
      </w:r>
      <w:r>
        <w:rPr>
          <w:rFonts w:hint="eastAsia" w:ascii="宋体" w:hAnsi="宋体" w:cs="宋体"/>
          <w:color w:val="auto"/>
          <w:sz w:val="22"/>
          <w:szCs w:val="22"/>
          <w:highlight w:val="none"/>
          <w:lang w:val="en-US" w:eastAsia="zh-CN"/>
        </w:rPr>
        <w:t>和</w:t>
      </w:r>
      <w:r>
        <w:rPr>
          <w:rFonts w:hint="eastAsia" w:ascii="宋体" w:hAnsi="宋体" w:cs="宋体"/>
          <w:color w:val="auto"/>
          <w:sz w:val="22"/>
          <w:szCs w:val="22"/>
          <w:highlight w:val="none"/>
        </w:rPr>
        <w:t>调试，</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将所供设备运至交货地点拆箱、安装和调试，安装完毕后，交付给学校试用。</w:t>
      </w:r>
    </w:p>
    <w:p w14:paraId="0B613F19">
      <w:pPr>
        <w:shd w:val="clear" w:color="auto" w:fill="auto"/>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调试要求：</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到货后安装完成后，用户针对</w:t>
      </w:r>
      <w:r>
        <w:rPr>
          <w:rFonts w:hint="eastAsia" w:ascii="宋体" w:hAnsi="宋体" w:cs="宋体"/>
          <w:color w:val="auto"/>
          <w:sz w:val="22"/>
          <w:szCs w:val="22"/>
          <w:highlight w:val="none"/>
          <w:lang w:val="en-US" w:eastAsia="zh-CN"/>
        </w:rPr>
        <w:t>产品质量</w:t>
      </w:r>
      <w:r>
        <w:rPr>
          <w:rFonts w:hint="eastAsia" w:ascii="宋体" w:hAnsi="宋体" w:cs="宋体"/>
          <w:color w:val="auto"/>
          <w:sz w:val="22"/>
          <w:szCs w:val="22"/>
          <w:highlight w:val="none"/>
        </w:rPr>
        <w:t>进行初步测试验收，符合采购文件的，继续安装其余的设备。</w:t>
      </w:r>
    </w:p>
    <w:p w14:paraId="4B259BF2">
      <w:pPr>
        <w:shd w:val="clear" w:color="auto" w:fill="auto"/>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cs="宋体"/>
          <w:color w:val="auto"/>
          <w:sz w:val="22"/>
          <w:szCs w:val="22"/>
          <w:highlight w:val="none"/>
        </w:rPr>
        <w:t>验收要求：</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安装调试完毕后，双方协商择日对项目进行验收。验收时</w:t>
      </w:r>
      <w:r>
        <w:rPr>
          <w:rFonts w:hint="eastAsia" w:ascii="宋体" w:hAnsi="宋体" w:cs="宋体"/>
          <w:color w:val="auto"/>
          <w:sz w:val="22"/>
          <w:szCs w:val="22"/>
          <w:highlight w:val="none"/>
          <w:lang w:eastAsia="zh-CN"/>
        </w:rPr>
        <w:t>中标供应商</w:t>
      </w:r>
      <w:r>
        <w:rPr>
          <w:rFonts w:hint="eastAsia" w:ascii="宋体" w:hAnsi="宋体" w:cs="宋体"/>
          <w:color w:val="auto"/>
          <w:sz w:val="22"/>
          <w:szCs w:val="22"/>
          <w:highlight w:val="none"/>
        </w:rPr>
        <w:t>要提供各学院详细</w:t>
      </w:r>
      <w:r>
        <w:rPr>
          <w:rFonts w:hint="eastAsia" w:ascii="宋体" w:hAnsi="宋体" w:cs="宋体"/>
          <w:color w:val="auto"/>
          <w:sz w:val="22"/>
          <w:szCs w:val="22"/>
          <w:highlight w:val="none"/>
          <w:lang w:val="en-US" w:eastAsia="zh-CN"/>
        </w:rPr>
        <w:t>产品</w:t>
      </w:r>
      <w:r>
        <w:rPr>
          <w:rFonts w:hint="eastAsia" w:ascii="宋体" w:hAnsi="宋体" w:cs="宋体"/>
          <w:color w:val="auto"/>
          <w:sz w:val="22"/>
          <w:szCs w:val="22"/>
          <w:highlight w:val="none"/>
        </w:rPr>
        <w:t>清单一份，包括产品品牌</w:t>
      </w:r>
      <w:r>
        <w:rPr>
          <w:rFonts w:hint="eastAsia" w:ascii="宋体" w:hAnsi="宋体" w:cs="宋体"/>
          <w:color w:val="auto"/>
          <w:sz w:val="22"/>
          <w:szCs w:val="22"/>
          <w:highlight w:val="none"/>
          <w:lang w:val="en-US" w:eastAsia="zh-CN"/>
        </w:rPr>
        <w:t>规格型号</w:t>
      </w:r>
      <w:r>
        <w:rPr>
          <w:rFonts w:hint="eastAsia" w:ascii="宋体" w:hAnsi="宋体" w:cs="宋体"/>
          <w:color w:val="auto"/>
          <w:sz w:val="22"/>
          <w:szCs w:val="22"/>
          <w:highlight w:val="none"/>
        </w:rPr>
        <w:t>单价合计等，提供验收竣工资料一份，装订成册。</w:t>
      </w:r>
      <w:bookmarkStart w:id="130" w:name="_Toc8388"/>
    </w:p>
    <w:p w14:paraId="3DBE69A3">
      <w:pPr>
        <w:keepNext/>
        <w:keepLines/>
        <w:shd w:val="clear" w:color="auto" w:fill="auto"/>
        <w:spacing w:before="120" w:beforeLines="50" w:after="120" w:afterLines="50" w:line="360" w:lineRule="auto"/>
        <w:outlineLvl w:val="2"/>
        <w:rPr>
          <w:rFonts w:hint="eastAsia" w:ascii="宋体" w:hAnsi="宋体" w:cs="宋体"/>
          <w:b/>
          <w:bCs/>
          <w:color w:val="auto"/>
          <w:sz w:val="22"/>
          <w:szCs w:val="22"/>
          <w:highlight w:val="none"/>
        </w:rPr>
      </w:pPr>
      <w:bookmarkStart w:id="131" w:name="_Toc31858"/>
      <w:bookmarkStart w:id="132" w:name="_Toc15129"/>
      <w:r>
        <w:rPr>
          <w:rFonts w:hint="eastAsia" w:ascii="宋体" w:hAnsi="宋体" w:cs="宋体"/>
          <w:b/>
          <w:bCs/>
          <w:color w:val="auto"/>
          <w:sz w:val="22"/>
          <w:szCs w:val="22"/>
          <w:highlight w:val="none"/>
          <w:lang w:val="en-US" w:eastAsia="zh-CN"/>
        </w:rPr>
        <w:t>六</w:t>
      </w:r>
      <w:r>
        <w:rPr>
          <w:rFonts w:hint="eastAsia" w:ascii="宋体" w:hAnsi="宋体" w:cs="宋体"/>
          <w:b/>
          <w:bCs/>
          <w:color w:val="auto"/>
          <w:sz w:val="22"/>
          <w:szCs w:val="22"/>
          <w:highlight w:val="none"/>
        </w:rPr>
        <w:t>、其他</w:t>
      </w:r>
      <w:bookmarkEnd w:id="130"/>
      <w:bookmarkEnd w:id="131"/>
      <w:bookmarkEnd w:id="132"/>
    </w:p>
    <w:p w14:paraId="6AB3C99E">
      <w:pPr>
        <w:shd w:val="clear" w:color="auto" w:fill="auto"/>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本项目所涉及的</w:t>
      </w:r>
      <w:r>
        <w:rPr>
          <w:rFonts w:hint="eastAsia" w:ascii="宋体" w:hAnsi="宋体" w:cs="宋体"/>
          <w:color w:val="auto"/>
          <w:sz w:val="22"/>
          <w:szCs w:val="22"/>
          <w:highlight w:val="none"/>
          <w:lang w:val="en-US" w:eastAsia="zh-CN"/>
        </w:rPr>
        <w:t>产品</w:t>
      </w:r>
      <w:r>
        <w:rPr>
          <w:rFonts w:hint="eastAsia" w:ascii="宋体" w:hAnsi="宋体" w:cs="宋体"/>
          <w:color w:val="auto"/>
          <w:sz w:val="22"/>
          <w:szCs w:val="22"/>
          <w:highlight w:val="none"/>
        </w:rPr>
        <w:t>数量，采购时确认数量不一定准确时，按其中标单价和实际</w:t>
      </w:r>
      <w:r>
        <w:rPr>
          <w:rFonts w:hint="eastAsia" w:ascii="宋体" w:hAnsi="宋体" w:cs="宋体"/>
          <w:color w:val="auto"/>
          <w:sz w:val="22"/>
          <w:szCs w:val="22"/>
          <w:highlight w:val="none"/>
          <w:lang w:val="en-US" w:eastAsia="zh-CN"/>
        </w:rPr>
        <w:t>采购量</w:t>
      </w:r>
      <w:r>
        <w:rPr>
          <w:rFonts w:hint="eastAsia" w:ascii="宋体" w:hAnsi="宋体" w:cs="宋体"/>
          <w:color w:val="auto"/>
          <w:sz w:val="22"/>
          <w:szCs w:val="22"/>
          <w:highlight w:val="none"/>
        </w:rPr>
        <w:t>结算。税收、人工费、安装费等一切与之相关的所有费用都需包含在报价中。</w:t>
      </w:r>
    </w:p>
    <w:p w14:paraId="7D9799A2">
      <w:pPr>
        <w:keepNext/>
        <w:keepLines/>
        <w:shd w:val="clear" w:color="auto" w:fill="auto"/>
        <w:spacing w:before="120" w:beforeLines="50" w:after="120" w:afterLines="50" w:line="360" w:lineRule="auto"/>
        <w:outlineLvl w:val="2"/>
        <w:rPr>
          <w:rFonts w:hint="eastAsia" w:ascii="宋体" w:hAnsi="宋体" w:eastAsia="宋体" w:cs="宋体"/>
          <w:b/>
          <w:bCs/>
          <w:color w:val="auto"/>
          <w:sz w:val="22"/>
          <w:szCs w:val="22"/>
          <w:highlight w:val="none"/>
          <w:lang w:val="en-US" w:eastAsia="zh-CN"/>
        </w:rPr>
      </w:pPr>
      <w:bookmarkStart w:id="133" w:name="_Toc31511"/>
      <w:bookmarkStart w:id="134" w:name="_Toc7361"/>
      <w:r>
        <w:rPr>
          <w:rFonts w:hint="eastAsia" w:ascii="宋体" w:hAnsi="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lang w:val="en-US" w:eastAsia="zh-CN"/>
        </w:rPr>
        <w:t>、样品</w:t>
      </w:r>
      <w:bookmarkEnd w:id="133"/>
      <w:bookmarkEnd w:id="134"/>
    </w:p>
    <w:p w14:paraId="107884C1">
      <w:pPr>
        <w:shd w:val="clear" w:color="auto" w:fill="auto"/>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本次采购要求携带样品参加投标，验收时如果</w:t>
      </w:r>
      <w:r>
        <w:rPr>
          <w:rFonts w:hint="eastAsia" w:ascii="宋体" w:hAnsi="宋体" w:cs="宋体"/>
          <w:color w:val="auto"/>
          <w:sz w:val="22"/>
          <w:szCs w:val="22"/>
          <w:highlight w:val="none"/>
          <w:lang w:val="en-US" w:eastAsia="zh-CN"/>
        </w:rPr>
        <w:t>中标供应商</w:t>
      </w:r>
      <w:r>
        <w:rPr>
          <w:rFonts w:hint="eastAsia" w:ascii="宋体" w:hAnsi="宋体" w:eastAsia="宋体" w:cs="宋体"/>
          <w:color w:val="auto"/>
          <w:sz w:val="22"/>
          <w:szCs w:val="22"/>
          <w:highlight w:val="none"/>
          <w:lang w:val="en-US" w:eastAsia="zh-CN"/>
        </w:rPr>
        <w:t>提供的产品质量低于样品质量，采购人将不予接受，其造成的一切损失和后果由</w:t>
      </w:r>
      <w:r>
        <w:rPr>
          <w:rFonts w:hint="eastAsia" w:ascii="宋体" w:hAnsi="宋体" w:cs="宋体"/>
          <w:color w:val="auto"/>
          <w:sz w:val="22"/>
          <w:szCs w:val="22"/>
          <w:highlight w:val="none"/>
          <w:lang w:val="en-US" w:eastAsia="zh-CN"/>
        </w:rPr>
        <w:t>中标供应商</w:t>
      </w:r>
      <w:r>
        <w:rPr>
          <w:rFonts w:hint="eastAsia" w:ascii="宋体" w:hAnsi="宋体" w:eastAsia="宋体" w:cs="宋体"/>
          <w:color w:val="auto"/>
          <w:sz w:val="22"/>
          <w:szCs w:val="22"/>
          <w:highlight w:val="none"/>
          <w:lang w:val="en-US" w:eastAsia="zh-CN"/>
        </w:rPr>
        <w:t>承担。</w:t>
      </w:r>
      <w:r>
        <w:rPr>
          <w:rFonts w:hint="eastAsia" w:ascii="宋体" w:hAnsi="宋体" w:cs="宋体"/>
          <w:color w:val="auto"/>
          <w:sz w:val="22"/>
          <w:szCs w:val="22"/>
          <w:highlight w:val="none"/>
          <w:lang w:val="en-US" w:eastAsia="zh-CN"/>
        </w:rPr>
        <w:t>供应商</w:t>
      </w:r>
      <w:r>
        <w:rPr>
          <w:rFonts w:hint="eastAsia" w:ascii="宋体" w:hAnsi="宋体" w:eastAsia="宋体" w:cs="宋体"/>
          <w:color w:val="auto"/>
          <w:sz w:val="22"/>
          <w:szCs w:val="22"/>
          <w:highlight w:val="none"/>
          <w:lang w:val="en-US" w:eastAsia="zh-CN"/>
        </w:rPr>
        <w:t>可根据技术要求进行优化，并作出详细对比说明。</w:t>
      </w:r>
    </w:p>
    <w:p w14:paraId="09367BFB">
      <w:pPr>
        <w:shd w:val="clear" w:color="auto" w:fill="auto"/>
        <w:snapToGrid w:val="0"/>
        <w:spacing w:line="360" w:lineRule="auto"/>
        <w:ind w:firstLine="442" w:firstLineChars="200"/>
        <w:rPr>
          <w:rFonts w:hint="eastAsia" w:ascii="宋体" w:hAnsi="宋体" w:eastAsia="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2.</w:t>
      </w:r>
      <w:r>
        <w:rPr>
          <w:rFonts w:hint="eastAsia" w:ascii="宋体" w:hAnsi="宋体" w:eastAsia="宋体" w:cs="宋体"/>
          <w:b/>
          <w:bCs/>
          <w:color w:val="auto"/>
          <w:sz w:val="22"/>
          <w:szCs w:val="22"/>
          <w:highlight w:val="none"/>
          <w:lang w:val="en-US" w:eastAsia="zh-CN"/>
        </w:rPr>
        <w:t>样品清单：</w:t>
      </w:r>
    </w:p>
    <w:tbl>
      <w:tblPr>
        <w:tblStyle w:val="27"/>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3625"/>
        <w:gridCol w:w="2066"/>
        <w:gridCol w:w="2115"/>
      </w:tblGrid>
      <w:tr w14:paraId="1063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034" w:type="pct"/>
            <w:noWrap w:val="0"/>
            <w:vAlign w:val="center"/>
          </w:tcPr>
          <w:p w14:paraId="137E2865">
            <w:pPr>
              <w:shd w:val="clear" w:color="auto" w:fill="auto"/>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序号</w:t>
            </w:r>
          </w:p>
        </w:tc>
        <w:tc>
          <w:tcPr>
            <w:tcW w:w="1841" w:type="pct"/>
            <w:noWrap w:val="0"/>
            <w:vAlign w:val="center"/>
          </w:tcPr>
          <w:p w14:paraId="1542A4C0">
            <w:pPr>
              <w:shd w:val="clear" w:color="auto" w:fill="auto"/>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名称</w:t>
            </w:r>
          </w:p>
        </w:tc>
        <w:tc>
          <w:tcPr>
            <w:tcW w:w="1049" w:type="pct"/>
            <w:noWrap w:val="0"/>
            <w:vAlign w:val="center"/>
          </w:tcPr>
          <w:p w14:paraId="312865D0">
            <w:pPr>
              <w:shd w:val="clear" w:color="auto" w:fill="auto"/>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数量</w:t>
            </w:r>
          </w:p>
        </w:tc>
        <w:tc>
          <w:tcPr>
            <w:tcW w:w="1074" w:type="pct"/>
            <w:noWrap w:val="0"/>
            <w:vAlign w:val="center"/>
          </w:tcPr>
          <w:p w14:paraId="5C4E7C88">
            <w:pPr>
              <w:shd w:val="clear" w:color="auto" w:fill="auto"/>
              <w:jc w:val="center"/>
              <w:rPr>
                <w:rFonts w:hint="eastAsia" w:ascii="宋体" w:hAnsi="宋体" w:eastAsia="宋体" w:cs="宋体"/>
                <w:b/>
                <w:bCs w:val="0"/>
                <w:color w:val="auto"/>
                <w:sz w:val="22"/>
                <w:szCs w:val="22"/>
                <w:highlight w:val="none"/>
              </w:rPr>
            </w:pPr>
            <w:r>
              <w:rPr>
                <w:rFonts w:hint="eastAsia" w:ascii="宋体" w:hAnsi="宋体" w:eastAsia="宋体" w:cs="宋体"/>
                <w:b/>
                <w:bCs w:val="0"/>
                <w:color w:val="auto"/>
                <w:sz w:val="22"/>
                <w:szCs w:val="22"/>
                <w:highlight w:val="none"/>
              </w:rPr>
              <w:t>单位</w:t>
            </w:r>
          </w:p>
        </w:tc>
      </w:tr>
      <w:tr w14:paraId="7124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034" w:type="pct"/>
            <w:noWrap w:val="0"/>
            <w:vAlign w:val="center"/>
          </w:tcPr>
          <w:p w14:paraId="07F47BF9">
            <w:pPr>
              <w:shd w:val="clear" w:color="auto" w:fill="auto"/>
              <w:jc w:val="center"/>
              <w:rPr>
                <w:rFonts w:hint="default" w:ascii="宋体" w:hAnsi="宋体" w:eastAsia="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1</w:t>
            </w:r>
          </w:p>
        </w:tc>
        <w:tc>
          <w:tcPr>
            <w:tcW w:w="1841" w:type="pct"/>
            <w:noWrap w:val="0"/>
            <w:vAlign w:val="center"/>
          </w:tcPr>
          <w:p w14:paraId="5E217E2A">
            <w:pPr>
              <w:shd w:val="clear" w:color="auto" w:fill="auto"/>
              <w:jc w:val="center"/>
              <w:rPr>
                <w:rFonts w:hint="default" w:ascii="宋体" w:hAnsi="宋体" w:eastAsia="宋体" w:cs="宋体"/>
                <w:b/>
                <w:bCs w:val="0"/>
                <w:color w:val="auto"/>
                <w:kern w:val="0"/>
                <w:sz w:val="22"/>
                <w:szCs w:val="22"/>
                <w:highlight w:val="none"/>
                <w:lang w:val="en-US" w:eastAsia="zh-CN" w:bidi="ar"/>
              </w:rPr>
            </w:pPr>
            <w:r>
              <w:rPr>
                <w:rFonts w:hint="eastAsia" w:ascii="宋体" w:hAnsi="宋体" w:eastAsia="宋体" w:cs="宋体"/>
                <w:b/>
                <w:bCs w:val="0"/>
                <w:i w:val="0"/>
                <w:iCs w:val="0"/>
                <w:color w:val="auto"/>
                <w:kern w:val="0"/>
                <w:sz w:val="22"/>
                <w:szCs w:val="22"/>
                <w:highlight w:val="none"/>
                <w:u w:val="none"/>
                <w:lang w:val="en-US" w:eastAsia="zh-CN" w:bidi="ar"/>
              </w:rPr>
              <w:t>可移动双人桌</w:t>
            </w:r>
          </w:p>
        </w:tc>
        <w:tc>
          <w:tcPr>
            <w:tcW w:w="1049" w:type="pct"/>
            <w:noWrap w:val="0"/>
            <w:vAlign w:val="center"/>
          </w:tcPr>
          <w:p w14:paraId="7282552D">
            <w:pPr>
              <w:shd w:val="clear" w:color="auto" w:fill="auto"/>
              <w:jc w:val="center"/>
              <w:rPr>
                <w:rFonts w:hint="default" w:ascii="宋体" w:hAnsi="宋体" w:eastAsia="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1</w:t>
            </w:r>
          </w:p>
        </w:tc>
        <w:tc>
          <w:tcPr>
            <w:tcW w:w="1074" w:type="pct"/>
            <w:noWrap w:val="0"/>
            <w:vAlign w:val="center"/>
          </w:tcPr>
          <w:p w14:paraId="17A5994D">
            <w:pPr>
              <w:shd w:val="clear" w:color="auto" w:fill="auto"/>
              <w:jc w:val="center"/>
              <w:rPr>
                <w:rFonts w:hint="default" w:ascii="宋体" w:hAnsi="宋体" w:eastAsia="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张</w:t>
            </w:r>
          </w:p>
        </w:tc>
      </w:tr>
      <w:tr w14:paraId="4FD0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1034" w:type="pct"/>
            <w:noWrap w:val="0"/>
            <w:vAlign w:val="center"/>
          </w:tcPr>
          <w:p w14:paraId="0FD4D990">
            <w:pPr>
              <w:shd w:val="clear" w:color="auto" w:fill="auto"/>
              <w:jc w:val="center"/>
              <w:rPr>
                <w:rFonts w:hint="default" w:ascii="宋体" w:hAnsi="宋体" w:eastAsia="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2</w:t>
            </w:r>
          </w:p>
        </w:tc>
        <w:tc>
          <w:tcPr>
            <w:tcW w:w="1841" w:type="pct"/>
            <w:noWrap w:val="0"/>
            <w:vAlign w:val="center"/>
          </w:tcPr>
          <w:p w14:paraId="1E329535">
            <w:pPr>
              <w:shd w:val="clear" w:color="auto" w:fill="auto"/>
              <w:jc w:val="center"/>
              <w:rPr>
                <w:rFonts w:hint="default" w:ascii="宋体" w:hAnsi="宋体" w:eastAsia="宋体" w:cs="宋体"/>
                <w:b/>
                <w:bCs w:val="0"/>
                <w:color w:val="auto"/>
                <w:kern w:val="0"/>
                <w:sz w:val="22"/>
                <w:szCs w:val="22"/>
                <w:highlight w:val="none"/>
                <w:lang w:val="en-US" w:eastAsia="zh-CN" w:bidi="ar"/>
              </w:rPr>
            </w:pPr>
            <w:r>
              <w:rPr>
                <w:rFonts w:hint="eastAsia" w:ascii="宋体" w:hAnsi="宋体" w:eastAsia="宋体" w:cs="宋体"/>
                <w:b/>
                <w:bCs w:val="0"/>
                <w:i w:val="0"/>
                <w:iCs w:val="0"/>
                <w:color w:val="auto"/>
                <w:kern w:val="0"/>
                <w:sz w:val="22"/>
                <w:szCs w:val="22"/>
                <w:highlight w:val="none"/>
                <w:u w:val="none"/>
                <w:lang w:val="en-US" w:eastAsia="zh-CN" w:bidi="ar"/>
              </w:rPr>
              <w:t>学生座椅</w:t>
            </w:r>
          </w:p>
        </w:tc>
        <w:tc>
          <w:tcPr>
            <w:tcW w:w="1049" w:type="pct"/>
            <w:noWrap w:val="0"/>
            <w:vAlign w:val="center"/>
          </w:tcPr>
          <w:p w14:paraId="6954FB25">
            <w:pPr>
              <w:shd w:val="clear" w:color="auto" w:fill="auto"/>
              <w:jc w:val="center"/>
              <w:rPr>
                <w:rFonts w:hint="default" w:ascii="宋体" w:hAnsi="宋体" w:eastAsia="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1</w:t>
            </w:r>
          </w:p>
        </w:tc>
        <w:tc>
          <w:tcPr>
            <w:tcW w:w="1074" w:type="pct"/>
            <w:noWrap w:val="0"/>
            <w:vAlign w:val="center"/>
          </w:tcPr>
          <w:p w14:paraId="3A1800B0">
            <w:pPr>
              <w:shd w:val="clear" w:color="auto" w:fill="auto"/>
              <w:jc w:val="center"/>
              <w:rPr>
                <w:rFonts w:hint="default" w:ascii="宋体" w:hAnsi="宋体" w:eastAsia="宋体" w:cs="宋体"/>
                <w:b/>
                <w:bCs w:val="0"/>
                <w:color w:val="auto"/>
                <w:sz w:val="22"/>
                <w:szCs w:val="22"/>
                <w:highlight w:val="none"/>
                <w:lang w:val="en-US" w:eastAsia="zh-CN"/>
              </w:rPr>
            </w:pPr>
            <w:r>
              <w:rPr>
                <w:rFonts w:hint="eastAsia" w:ascii="宋体" w:hAnsi="宋体" w:cs="宋体"/>
                <w:b/>
                <w:bCs w:val="0"/>
                <w:color w:val="auto"/>
                <w:sz w:val="22"/>
                <w:szCs w:val="22"/>
                <w:highlight w:val="none"/>
                <w:lang w:val="en-US" w:eastAsia="zh-CN"/>
              </w:rPr>
              <w:t>张</w:t>
            </w:r>
          </w:p>
        </w:tc>
      </w:tr>
    </w:tbl>
    <w:p w14:paraId="76CA0045">
      <w:pPr>
        <w:shd w:val="clear" w:color="auto" w:fill="auto"/>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lang w:val="en-US" w:eastAsia="zh-CN"/>
        </w:rPr>
        <w:t>样品递交时间：同投标文件递交截止时间，逾期送达将予以拒收。</w:t>
      </w:r>
    </w:p>
    <w:p w14:paraId="43A72C88">
      <w:pPr>
        <w:shd w:val="clear" w:color="auto" w:fill="auto"/>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中标候选人的实物样品在开评标结束后作为实物依据，由采购人封存保留并运至其单位。未</w:t>
      </w:r>
      <w:r>
        <w:rPr>
          <w:rFonts w:hint="eastAsia" w:ascii="宋体" w:hAnsi="宋体" w:cs="宋体"/>
          <w:color w:val="auto"/>
          <w:sz w:val="22"/>
          <w:szCs w:val="22"/>
          <w:highlight w:val="none"/>
          <w:lang w:val="en-US" w:eastAsia="zh-CN"/>
        </w:rPr>
        <w:t>中标供应商</w:t>
      </w:r>
      <w:r>
        <w:rPr>
          <w:rFonts w:hint="eastAsia" w:ascii="宋体" w:hAnsi="宋体" w:eastAsia="宋体" w:cs="宋体"/>
          <w:color w:val="auto"/>
          <w:sz w:val="22"/>
          <w:szCs w:val="22"/>
          <w:highlight w:val="none"/>
          <w:lang w:val="en-US" w:eastAsia="zh-CN"/>
        </w:rPr>
        <w:t>的实物样品务必于开标结束后当日运走。</w:t>
      </w:r>
    </w:p>
    <w:p w14:paraId="0A8F420C">
      <w:pPr>
        <w:shd w:val="clear" w:color="auto" w:fill="auto"/>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样品制作标准和要求：详见样品要求及样品序号对应的“技术参数”；</w:t>
      </w:r>
    </w:p>
    <w:p w14:paraId="5BCD6F9A">
      <w:pPr>
        <w:shd w:val="clear" w:color="auto" w:fill="auto"/>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w:t>
      </w:r>
      <w:r>
        <w:rPr>
          <w:rFonts w:hint="eastAsia" w:ascii="宋体" w:hAnsi="宋体" w:eastAsia="宋体" w:cs="宋体"/>
          <w:color w:val="auto"/>
          <w:sz w:val="22"/>
          <w:szCs w:val="22"/>
          <w:highlight w:val="none"/>
          <w:lang w:val="en-US" w:eastAsia="zh-CN"/>
        </w:rPr>
        <w:t>是否需要随样品提交相关检测报告：否；</w:t>
      </w:r>
    </w:p>
    <w:p w14:paraId="1DAAA0A6">
      <w:pPr>
        <w:shd w:val="clear" w:color="auto" w:fill="auto"/>
        <w:snapToGrid w:val="0"/>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7.供应商</w:t>
      </w:r>
      <w:r>
        <w:rPr>
          <w:rFonts w:hint="eastAsia" w:ascii="宋体" w:hAnsi="宋体" w:eastAsia="宋体" w:cs="宋体"/>
          <w:color w:val="auto"/>
          <w:sz w:val="22"/>
          <w:szCs w:val="22"/>
          <w:highlight w:val="none"/>
          <w:lang w:val="en-US" w:eastAsia="zh-CN"/>
        </w:rPr>
        <w:t>中标并与采购人签订合同后，其样品的质量将作为验收标准之一。</w:t>
      </w:r>
    </w:p>
    <w:p w14:paraId="27A59DE3">
      <w:pPr>
        <w:shd w:val="clear" w:color="auto" w:fill="auto"/>
        <w:snapToGrid w:val="0"/>
        <w:spacing w:line="360" w:lineRule="auto"/>
        <w:ind w:firstLine="440" w:firstLineChars="200"/>
        <w:rPr>
          <w:rFonts w:hint="eastAsia" w:ascii="宋体" w:hAnsi="宋体" w:eastAsia="宋体" w:cs="宋体"/>
          <w:color w:val="auto"/>
          <w:szCs w:val="21"/>
          <w:highlight w:val="none"/>
          <w:lang w:val="en-US" w:eastAsia="zh-CN"/>
        </w:rPr>
      </w:pPr>
      <w:r>
        <w:rPr>
          <w:rFonts w:hint="eastAsia" w:ascii="宋体" w:hAnsi="宋体" w:cs="宋体"/>
          <w:color w:val="auto"/>
          <w:sz w:val="22"/>
          <w:szCs w:val="22"/>
          <w:highlight w:val="none"/>
          <w:lang w:val="en-US" w:eastAsia="zh-CN"/>
        </w:rPr>
        <w:t>8.</w:t>
      </w:r>
      <w:r>
        <w:rPr>
          <w:rFonts w:hint="eastAsia" w:ascii="宋体" w:hAnsi="宋体" w:eastAsia="宋体" w:cs="宋体"/>
          <w:color w:val="auto"/>
          <w:sz w:val="22"/>
          <w:szCs w:val="22"/>
          <w:highlight w:val="none"/>
          <w:lang w:val="en-US" w:eastAsia="zh-CN"/>
        </w:rPr>
        <w:t>投标样品如有需要，对隐蔽部位可进行破坏性检验。</w:t>
      </w:r>
    </w:p>
    <w:p w14:paraId="3594444F">
      <w:pPr>
        <w:numPr>
          <w:ilvl w:val="0"/>
          <w:numId w:val="21"/>
        </w:numPr>
        <w:shd w:val="clear" w:color="auto" w:fill="auto"/>
        <w:spacing w:line="360" w:lineRule="auto"/>
        <w:rPr>
          <w:color w:val="auto"/>
          <w:highlight w:val="none"/>
        </w:rPr>
      </w:pPr>
      <w:r>
        <w:rPr>
          <w:rFonts w:hint="eastAsia" w:ascii="新宋体" w:hAnsi="新宋体" w:eastAsia="新宋体" w:cs="新宋体"/>
          <w:color w:val="auto"/>
          <w:sz w:val="36"/>
          <w:szCs w:val="36"/>
          <w:highlight w:val="none"/>
        </w:rPr>
        <w:br w:type="page"/>
      </w:r>
    </w:p>
    <w:p w14:paraId="140D624B">
      <w:pPr>
        <w:pStyle w:val="5"/>
        <w:jc w:val="center"/>
        <w:rPr>
          <w:rFonts w:hint="eastAsia" w:ascii="新宋体" w:hAnsi="新宋体" w:eastAsia="新宋体" w:cs="新宋体"/>
          <w:color w:val="auto"/>
          <w:sz w:val="36"/>
          <w:szCs w:val="36"/>
          <w:highlight w:val="none"/>
        </w:rPr>
      </w:pPr>
      <w:bookmarkStart w:id="135" w:name="_Toc10010"/>
      <w:r>
        <w:rPr>
          <w:rFonts w:hint="eastAsia" w:ascii="新宋体" w:hAnsi="新宋体" w:eastAsia="新宋体" w:cs="新宋体"/>
          <w:color w:val="auto"/>
          <w:sz w:val="36"/>
          <w:szCs w:val="36"/>
          <w:highlight w:val="none"/>
        </w:rPr>
        <w:t>第五部分   评标原则及方法</w:t>
      </w:r>
      <w:bookmarkEnd w:id="117"/>
      <w:bookmarkEnd w:id="118"/>
      <w:bookmarkEnd w:id="119"/>
      <w:bookmarkEnd w:id="120"/>
      <w:bookmarkEnd w:id="121"/>
      <w:bookmarkEnd w:id="122"/>
      <w:bookmarkEnd w:id="123"/>
      <w:bookmarkEnd w:id="124"/>
      <w:bookmarkEnd w:id="125"/>
      <w:bookmarkEnd w:id="126"/>
      <w:bookmarkEnd w:id="135"/>
    </w:p>
    <w:p w14:paraId="608097AF">
      <w:pPr>
        <w:pStyle w:val="3"/>
        <w:spacing w:after="0" w:line="460" w:lineRule="exact"/>
        <w:rPr>
          <w:rFonts w:hint="eastAsia" w:ascii="新宋体" w:hAnsi="新宋体" w:eastAsia="新宋体" w:cs="新宋体"/>
          <w:b/>
          <w:color w:val="auto"/>
          <w:sz w:val="22"/>
          <w:szCs w:val="22"/>
          <w:highlight w:val="none"/>
        </w:rPr>
      </w:pPr>
      <w:bookmarkStart w:id="136" w:name="_Toc221356961"/>
      <w:bookmarkStart w:id="137" w:name="_Toc221356898"/>
      <w:r>
        <w:rPr>
          <w:rFonts w:hint="eastAsia" w:ascii="新宋体" w:hAnsi="新宋体" w:eastAsia="新宋体" w:cs="新宋体"/>
          <w:b/>
          <w:color w:val="auto"/>
          <w:sz w:val="22"/>
          <w:szCs w:val="22"/>
          <w:highlight w:val="none"/>
        </w:rPr>
        <w:t>一. 总  则</w:t>
      </w:r>
      <w:bookmarkEnd w:id="136"/>
      <w:bookmarkEnd w:id="137"/>
    </w:p>
    <w:p w14:paraId="4047F681">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遵循公平、公正、科学、择优原则和诚实、信誉、效率的服务原则。本着科学、严谨的态度，认真进行评标。择优选用，推进技术进步，确保货物质量、节约投资，最大限度的保护当事人权益，严格按照采购文件的商务、技术要求，对投标文件进行综合评定，提出优选方案，编写评标报告。对落标单位，评委会不作任何落标解释。</w:t>
      </w:r>
    </w:p>
    <w:p w14:paraId="23C89C37">
      <w:pPr>
        <w:pStyle w:val="3"/>
        <w:spacing w:after="0" w:line="460" w:lineRule="exact"/>
        <w:rPr>
          <w:rFonts w:hint="eastAsia" w:ascii="新宋体" w:hAnsi="新宋体" w:eastAsia="新宋体" w:cs="新宋体"/>
          <w:b/>
          <w:color w:val="auto"/>
          <w:sz w:val="22"/>
          <w:szCs w:val="22"/>
          <w:highlight w:val="none"/>
        </w:rPr>
      </w:pPr>
      <w:bookmarkStart w:id="138" w:name="_Toc221356899"/>
      <w:bookmarkStart w:id="139" w:name="_Toc221356962"/>
      <w:r>
        <w:rPr>
          <w:rFonts w:hint="eastAsia" w:ascii="新宋体" w:hAnsi="新宋体" w:eastAsia="新宋体" w:cs="新宋体"/>
          <w:b/>
          <w:color w:val="auto"/>
          <w:sz w:val="22"/>
          <w:szCs w:val="22"/>
          <w:highlight w:val="none"/>
        </w:rPr>
        <w:t>二、评标组织</w:t>
      </w:r>
      <w:bookmarkEnd w:id="138"/>
      <w:bookmarkEnd w:id="139"/>
    </w:p>
    <w:p w14:paraId="621DAC4A">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评标工作由</w:t>
      </w:r>
      <w:r>
        <w:rPr>
          <w:rFonts w:ascii="新宋体" w:hAnsi="新宋体" w:eastAsia="新宋体" w:cs="新宋体"/>
          <w:color w:val="auto"/>
          <w:sz w:val="22"/>
          <w:szCs w:val="22"/>
          <w:highlight w:val="none"/>
        </w:rPr>
        <w:t>采购人</w:t>
      </w:r>
      <w:r>
        <w:rPr>
          <w:rFonts w:hint="eastAsia" w:ascii="新宋体" w:hAnsi="新宋体" w:eastAsia="新宋体" w:cs="新宋体"/>
          <w:color w:val="auto"/>
          <w:sz w:val="22"/>
          <w:szCs w:val="22"/>
          <w:highlight w:val="none"/>
        </w:rPr>
        <w:t>依法组建的评标委员会负责，评标全过程由有关部门指导监督。</w:t>
      </w:r>
    </w:p>
    <w:p w14:paraId="27678992">
      <w:pPr>
        <w:pStyle w:val="3"/>
        <w:spacing w:after="0" w:line="460" w:lineRule="exact"/>
        <w:rPr>
          <w:rFonts w:hint="eastAsia" w:ascii="新宋体" w:hAnsi="新宋体" w:eastAsia="新宋体" w:cs="新宋体"/>
          <w:b/>
          <w:color w:val="auto"/>
          <w:sz w:val="22"/>
          <w:szCs w:val="22"/>
          <w:highlight w:val="none"/>
        </w:rPr>
      </w:pPr>
      <w:bookmarkStart w:id="140" w:name="_Toc221356900"/>
      <w:bookmarkStart w:id="141" w:name="_Toc221356963"/>
      <w:r>
        <w:rPr>
          <w:rFonts w:hint="eastAsia" w:ascii="新宋体" w:hAnsi="新宋体" w:eastAsia="新宋体" w:cs="新宋体"/>
          <w:b/>
          <w:color w:val="auto"/>
          <w:sz w:val="22"/>
          <w:szCs w:val="22"/>
          <w:highlight w:val="none"/>
        </w:rPr>
        <w:t>三、评标程序</w:t>
      </w:r>
      <w:bookmarkEnd w:id="140"/>
      <w:bookmarkEnd w:id="141"/>
    </w:p>
    <w:p w14:paraId="4A157517">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标后，采购代理机构对各投标供应商的资格进行审查；然后评标委员会对合格投标供应商的投标文件进行符合性审查，按照采购文件中规定的评标方法和标准，对符合性审查合格的投标文件进行商务和技术评估，综合比较与评价。</w:t>
      </w:r>
    </w:p>
    <w:p w14:paraId="3439BF09">
      <w:pPr>
        <w:pStyle w:val="3"/>
        <w:spacing w:after="0" w:line="460" w:lineRule="exact"/>
        <w:rPr>
          <w:rFonts w:hint="eastAsia" w:ascii="新宋体" w:hAnsi="新宋体" w:eastAsia="新宋体" w:cs="新宋体"/>
          <w:b/>
          <w:color w:val="auto"/>
          <w:sz w:val="22"/>
          <w:szCs w:val="22"/>
          <w:highlight w:val="none"/>
        </w:rPr>
      </w:pPr>
      <w:bookmarkStart w:id="142" w:name="_Toc221356964"/>
      <w:bookmarkStart w:id="143" w:name="_Toc221356901"/>
      <w:r>
        <w:rPr>
          <w:rFonts w:hint="eastAsia" w:ascii="新宋体" w:hAnsi="新宋体" w:eastAsia="新宋体" w:cs="新宋体"/>
          <w:b/>
          <w:color w:val="auto"/>
          <w:sz w:val="22"/>
          <w:szCs w:val="22"/>
          <w:highlight w:val="none"/>
        </w:rPr>
        <w:t>四、评标办法</w:t>
      </w:r>
      <w:bookmarkEnd w:id="142"/>
      <w:bookmarkEnd w:id="143"/>
    </w:p>
    <w:p w14:paraId="26628148">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次采购采用百分制综合评分法，即投标供应商最大限度地满足采购文件实质性要求的基础上，按照采购文件的各项因素进行综合评审后，以评标总得分最高的投标供应商和次高的投标供应商作为中标候选供应商和备选中标供应商的评标方法。</w:t>
      </w:r>
    </w:p>
    <w:p w14:paraId="2C0665CC">
      <w:pPr>
        <w:pStyle w:val="3"/>
        <w:spacing w:after="0" w:line="460" w:lineRule="exact"/>
        <w:rPr>
          <w:rFonts w:hint="default"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rPr>
        <w:t>五、评分细则</w:t>
      </w:r>
    </w:p>
    <w:p w14:paraId="0C7C1742">
      <w:pPr>
        <w:numPr>
          <w:ilvl w:val="0"/>
          <w:numId w:val="22"/>
        </w:numPr>
        <w:spacing w:line="460" w:lineRule="exact"/>
        <w:ind w:firstLine="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技术资信部分的评定（</w:t>
      </w:r>
      <w:r>
        <w:rPr>
          <w:rFonts w:hint="eastAsia" w:ascii="新宋体" w:hAnsi="新宋体" w:eastAsia="新宋体" w:cs="新宋体"/>
          <w:b/>
          <w:bCs/>
          <w:color w:val="auto"/>
          <w:sz w:val="22"/>
          <w:szCs w:val="22"/>
          <w:highlight w:val="none"/>
          <w:lang w:val="en-US" w:eastAsia="zh-CN"/>
        </w:rPr>
        <w:t>7</w:t>
      </w:r>
      <w:r>
        <w:rPr>
          <w:rFonts w:hint="eastAsia" w:ascii="新宋体" w:hAnsi="新宋体" w:eastAsia="新宋体" w:cs="新宋体"/>
          <w:b/>
          <w:bCs/>
          <w:color w:val="auto"/>
          <w:sz w:val="22"/>
          <w:szCs w:val="22"/>
          <w:highlight w:val="none"/>
        </w:rPr>
        <w:t>0分）</w:t>
      </w:r>
    </w:p>
    <w:p w14:paraId="0F94F1C8">
      <w:pPr>
        <w:spacing w:line="460" w:lineRule="exact"/>
        <w:ind w:firstLine="43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各评委成员按下列评分项目进行评定，每人一张评分计算表，由评标委员会成员各自评定打分并记实名。如任何一张表的一项评分内容分值超过规定的范围，则该张表无效。各评标委员会成员对各投标供应商的各项评分内容进行评审、独立打分，所有评委成员评分的算术平均值为该投标供应商技术资信部分的最终得分（四舍五入，保留小数点后二位）。</w:t>
      </w:r>
    </w:p>
    <w:tbl>
      <w:tblPr>
        <w:tblStyle w:val="2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184"/>
        <w:gridCol w:w="7232"/>
        <w:gridCol w:w="829"/>
      </w:tblGrid>
      <w:tr w14:paraId="69A1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 w:type="pct"/>
            <w:noWrap w:val="0"/>
            <w:vAlign w:val="center"/>
          </w:tcPr>
          <w:p w14:paraId="3236788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pacing w:val="0"/>
                <w:sz w:val="22"/>
                <w:szCs w:val="22"/>
                <w:highlight w:val="none"/>
              </w:rPr>
            </w:pPr>
            <w:bookmarkStart w:id="144" w:name="_Toc28615"/>
            <w:r>
              <w:rPr>
                <w:rFonts w:hint="eastAsia" w:ascii="宋体" w:hAnsi="宋体" w:eastAsia="宋体" w:cs="宋体"/>
                <w:b/>
                <w:bCs w:val="0"/>
                <w:color w:val="auto"/>
                <w:spacing w:val="0"/>
                <w:sz w:val="22"/>
                <w:szCs w:val="22"/>
                <w:highlight w:val="none"/>
              </w:rPr>
              <w:t>序号</w:t>
            </w:r>
          </w:p>
        </w:tc>
        <w:tc>
          <w:tcPr>
            <w:tcW w:w="601" w:type="pct"/>
            <w:noWrap w:val="0"/>
            <w:vAlign w:val="center"/>
          </w:tcPr>
          <w:p w14:paraId="0D479E0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pacing w:val="0"/>
                <w:sz w:val="22"/>
                <w:szCs w:val="22"/>
                <w:highlight w:val="none"/>
                <w:lang w:eastAsia="zh-CN"/>
              </w:rPr>
            </w:pPr>
            <w:r>
              <w:rPr>
                <w:rFonts w:hint="eastAsia" w:ascii="宋体" w:hAnsi="宋体" w:eastAsia="宋体" w:cs="宋体"/>
                <w:b/>
                <w:bCs w:val="0"/>
                <w:color w:val="auto"/>
                <w:spacing w:val="0"/>
                <w:sz w:val="22"/>
                <w:szCs w:val="22"/>
                <w:highlight w:val="none"/>
                <w:lang w:val="en-US" w:eastAsia="zh-CN"/>
              </w:rPr>
              <w:t>项目</w:t>
            </w:r>
          </w:p>
        </w:tc>
        <w:tc>
          <w:tcPr>
            <w:tcW w:w="3671" w:type="pct"/>
            <w:noWrap w:val="0"/>
            <w:vAlign w:val="center"/>
          </w:tcPr>
          <w:p w14:paraId="408C435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pacing w:val="0"/>
                <w:sz w:val="22"/>
                <w:szCs w:val="22"/>
                <w:highlight w:val="none"/>
                <w:lang w:eastAsia="zh-CN"/>
              </w:rPr>
            </w:pPr>
            <w:r>
              <w:rPr>
                <w:rFonts w:hint="eastAsia" w:ascii="宋体" w:hAnsi="宋体" w:eastAsia="宋体" w:cs="宋体"/>
                <w:b/>
                <w:bCs w:val="0"/>
                <w:color w:val="auto"/>
                <w:spacing w:val="0"/>
                <w:sz w:val="22"/>
                <w:szCs w:val="22"/>
                <w:highlight w:val="none"/>
              </w:rPr>
              <w:t>评分</w:t>
            </w:r>
            <w:r>
              <w:rPr>
                <w:rFonts w:hint="eastAsia" w:ascii="宋体" w:hAnsi="宋体" w:eastAsia="宋体" w:cs="宋体"/>
                <w:b/>
                <w:bCs w:val="0"/>
                <w:color w:val="auto"/>
                <w:spacing w:val="0"/>
                <w:sz w:val="22"/>
                <w:szCs w:val="22"/>
                <w:highlight w:val="none"/>
                <w:lang w:val="en-US" w:eastAsia="zh-CN"/>
              </w:rPr>
              <w:t>细则</w:t>
            </w:r>
          </w:p>
        </w:tc>
        <w:tc>
          <w:tcPr>
            <w:tcW w:w="421" w:type="pct"/>
            <w:noWrap w:val="0"/>
            <w:vAlign w:val="center"/>
          </w:tcPr>
          <w:p w14:paraId="484C6BB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pacing w:val="0"/>
                <w:sz w:val="22"/>
                <w:szCs w:val="22"/>
                <w:highlight w:val="none"/>
              </w:rPr>
            </w:pPr>
            <w:r>
              <w:rPr>
                <w:rFonts w:hint="eastAsia" w:ascii="宋体" w:hAnsi="宋体" w:eastAsia="宋体" w:cs="宋体"/>
                <w:b/>
                <w:bCs w:val="0"/>
                <w:color w:val="auto"/>
                <w:spacing w:val="0"/>
                <w:sz w:val="22"/>
                <w:szCs w:val="22"/>
                <w:highlight w:val="none"/>
              </w:rPr>
              <w:t>分值</w:t>
            </w:r>
          </w:p>
        </w:tc>
      </w:tr>
      <w:tr w14:paraId="2F1F7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 w:type="pct"/>
            <w:shd w:val="clear" w:color="auto" w:fill="auto"/>
            <w:noWrap w:val="0"/>
            <w:vAlign w:val="center"/>
          </w:tcPr>
          <w:p w14:paraId="7731DA4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1</w:t>
            </w:r>
          </w:p>
        </w:tc>
        <w:tc>
          <w:tcPr>
            <w:tcW w:w="601" w:type="pct"/>
            <w:shd w:val="clear" w:color="auto" w:fill="auto"/>
            <w:noWrap w:val="0"/>
            <w:vAlign w:val="center"/>
          </w:tcPr>
          <w:p w14:paraId="1D705DB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认证证书情况</w:t>
            </w:r>
          </w:p>
        </w:tc>
        <w:tc>
          <w:tcPr>
            <w:tcW w:w="3671" w:type="pct"/>
            <w:shd w:val="clear" w:color="auto" w:fill="auto"/>
            <w:noWrap w:val="0"/>
            <w:vAlign w:val="center"/>
          </w:tcPr>
          <w:p w14:paraId="4F57511D">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b w:val="0"/>
                <w:bCs/>
                <w:color w:val="auto"/>
                <w:spacing w:val="0"/>
                <w:sz w:val="22"/>
                <w:szCs w:val="22"/>
                <w:highlight w:val="none"/>
                <w:lang w:val="en-US" w:eastAsia="zh-CN"/>
              </w:rPr>
              <w:t>1</w:t>
            </w:r>
            <w:r>
              <w:rPr>
                <w:rFonts w:hint="eastAsia" w:ascii="宋体" w:hAnsi="宋体" w:eastAsia="宋体" w:cs="宋体"/>
                <w:b w:val="0"/>
                <w:bCs/>
                <w:color w:val="auto"/>
                <w:spacing w:val="0"/>
                <w:sz w:val="22"/>
                <w:szCs w:val="22"/>
                <w:highlight w:val="none"/>
              </w:rPr>
              <w:t>.</w:t>
            </w:r>
            <w:r>
              <w:rPr>
                <w:rFonts w:hint="eastAsia" w:ascii="宋体" w:hAnsi="宋体" w:eastAsia="宋体" w:cs="宋体"/>
                <w:b w:val="0"/>
                <w:bCs/>
                <w:color w:val="auto"/>
                <w:spacing w:val="0"/>
                <w:sz w:val="22"/>
                <w:szCs w:val="22"/>
                <w:highlight w:val="none"/>
                <w:lang w:val="en-US" w:eastAsia="zh-CN"/>
              </w:rPr>
              <w:t>投标人</w:t>
            </w:r>
            <w:r>
              <w:rPr>
                <w:rFonts w:hint="eastAsia" w:ascii="宋体" w:hAnsi="宋体" w:eastAsia="宋体" w:cs="宋体"/>
                <w:b w:val="0"/>
                <w:bCs/>
                <w:color w:val="auto"/>
                <w:spacing w:val="0"/>
                <w:sz w:val="22"/>
                <w:szCs w:val="22"/>
                <w:highlight w:val="none"/>
              </w:rPr>
              <w:t>获得有效期内的</w:t>
            </w:r>
            <w:r>
              <w:rPr>
                <w:rFonts w:hint="eastAsia" w:ascii="宋体" w:hAnsi="宋体" w:eastAsia="宋体" w:cs="宋体"/>
                <w:b w:val="0"/>
                <w:bCs/>
                <w:color w:val="auto"/>
                <w:spacing w:val="0"/>
                <w:sz w:val="22"/>
                <w:szCs w:val="22"/>
                <w:highlight w:val="none"/>
                <w:lang w:val="en-US" w:eastAsia="zh-CN"/>
              </w:rPr>
              <w:t>质量管理体系认证</w:t>
            </w:r>
            <w:r>
              <w:rPr>
                <w:rFonts w:hint="eastAsia" w:ascii="宋体" w:hAnsi="宋体" w:eastAsia="宋体" w:cs="宋体"/>
                <w:b w:val="0"/>
                <w:bCs/>
                <w:color w:val="auto"/>
                <w:spacing w:val="0"/>
                <w:sz w:val="22"/>
                <w:szCs w:val="22"/>
                <w:highlight w:val="none"/>
              </w:rPr>
              <w:t>证书</w:t>
            </w:r>
            <w:r>
              <w:rPr>
                <w:rFonts w:hint="eastAsia" w:ascii="宋体" w:hAnsi="宋体" w:eastAsia="宋体" w:cs="宋体"/>
                <w:b w:val="0"/>
                <w:bCs/>
                <w:color w:val="auto"/>
                <w:spacing w:val="0"/>
                <w:sz w:val="22"/>
                <w:szCs w:val="22"/>
                <w:highlight w:val="none"/>
                <w:lang w:eastAsia="zh-CN"/>
              </w:rPr>
              <w:t>、</w:t>
            </w:r>
            <w:r>
              <w:rPr>
                <w:rFonts w:hint="eastAsia" w:ascii="宋体" w:hAnsi="宋体" w:eastAsia="宋体" w:cs="宋体"/>
                <w:b w:val="0"/>
                <w:bCs/>
                <w:color w:val="auto"/>
                <w:spacing w:val="0"/>
                <w:sz w:val="22"/>
                <w:szCs w:val="22"/>
                <w:highlight w:val="none"/>
                <w:lang w:val="en-US" w:eastAsia="zh-CN"/>
              </w:rPr>
              <w:t>环境管理体系认证证书、</w:t>
            </w:r>
            <w:r>
              <w:rPr>
                <w:rFonts w:hint="eastAsia" w:ascii="宋体" w:hAnsi="宋体" w:eastAsia="宋体" w:cs="宋体"/>
                <w:b w:val="0"/>
                <w:bCs/>
                <w:color w:val="auto"/>
                <w:spacing w:val="0"/>
                <w:sz w:val="22"/>
                <w:szCs w:val="22"/>
                <w:highlight w:val="none"/>
                <w:lang w:eastAsia="zh-CN"/>
              </w:rPr>
              <w:t>职业健康安全管理体系认证证书。</w:t>
            </w:r>
            <w:r>
              <w:rPr>
                <w:rFonts w:hint="eastAsia" w:ascii="宋体" w:hAnsi="宋体" w:eastAsia="宋体" w:cs="宋体"/>
                <w:b w:val="0"/>
                <w:bCs/>
                <w:color w:val="auto"/>
                <w:spacing w:val="0"/>
                <w:sz w:val="22"/>
                <w:szCs w:val="22"/>
                <w:highlight w:val="none"/>
                <w:lang w:val="en-US" w:eastAsia="zh-CN"/>
              </w:rPr>
              <w:t>每提供一个证书得1分，最高3分。</w:t>
            </w:r>
          </w:p>
          <w:p w14:paraId="4EC32B9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pacing w:val="0"/>
                <w:kern w:val="2"/>
                <w:sz w:val="22"/>
                <w:szCs w:val="22"/>
                <w:highlight w:val="none"/>
                <w:lang w:val="en-US" w:eastAsia="zh-CN" w:bidi="ar-SA"/>
              </w:rPr>
            </w:pPr>
            <w:r>
              <w:rPr>
                <w:rFonts w:hint="eastAsia" w:ascii="宋体" w:hAnsi="宋体" w:eastAsia="宋体" w:cs="宋体"/>
                <w:b w:val="0"/>
                <w:bCs/>
                <w:color w:val="auto"/>
                <w:spacing w:val="0"/>
                <w:sz w:val="22"/>
                <w:szCs w:val="22"/>
                <w:highlight w:val="none"/>
              </w:rPr>
              <w:t>注：</w:t>
            </w:r>
            <w:r>
              <w:rPr>
                <w:rFonts w:hint="eastAsia" w:ascii="宋体" w:hAnsi="宋体" w:eastAsia="宋体" w:cs="宋体"/>
                <w:b w:val="0"/>
                <w:bCs/>
                <w:color w:val="auto"/>
                <w:spacing w:val="0"/>
                <w:sz w:val="22"/>
                <w:szCs w:val="22"/>
                <w:highlight w:val="none"/>
                <w:u w:val="single"/>
              </w:rPr>
              <w:t>应提供证书</w:t>
            </w:r>
            <w:r>
              <w:rPr>
                <w:rFonts w:hint="eastAsia" w:ascii="宋体" w:hAnsi="宋体" w:eastAsia="宋体" w:cs="宋体"/>
                <w:b w:val="0"/>
                <w:bCs/>
                <w:color w:val="auto"/>
                <w:spacing w:val="0"/>
                <w:sz w:val="22"/>
                <w:szCs w:val="22"/>
                <w:highlight w:val="none"/>
                <w:u w:val="single"/>
                <w:lang w:val="en-US" w:eastAsia="zh-CN"/>
              </w:rPr>
              <w:t>复印件</w:t>
            </w:r>
            <w:r>
              <w:rPr>
                <w:rFonts w:hint="eastAsia" w:ascii="宋体" w:hAnsi="宋体" w:eastAsia="宋体" w:cs="宋体"/>
                <w:b w:val="0"/>
                <w:bCs/>
                <w:color w:val="auto"/>
                <w:spacing w:val="0"/>
                <w:sz w:val="22"/>
                <w:szCs w:val="22"/>
                <w:highlight w:val="none"/>
                <w:u w:val="single"/>
              </w:rPr>
              <w:t>及全国认证认可信息公共服务平台查询到相关证书信息截图</w:t>
            </w:r>
            <w:r>
              <w:rPr>
                <w:rFonts w:hint="eastAsia" w:ascii="宋体" w:hAnsi="宋体" w:eastAsia="宋体" w:cs="宋体"/>
                <w:b w:val="0"/>
                <w:bCs/>
                <w:color w:val="auto"/>
                <w:spacing w:val="0"/>
                <w:sz w:val="22"/>
                <w:szCs w:val="22"/>
                <w:highlight w:val="none"/>
                <w:u w:val="single"/>
                <w:lang w:val="en-US" w:eastAsia="zh-CN"/>
              </w:rPr>
              <w:t>加盖公章</w:t>
            </w:r>
            <w:r>
              <w:rPr>
                <w:rFonts w:hint="eastAsia" w:ascii="宋体" w:hAnsi="宋体" w:eastAsia="宋体" w:cs="宋体"/>
                <w:b w:val="0"/>
                <w:bCs/>
                <w:color w:val="auto"/>
                <w:spacing w:val="0"/>
                <w:sz w:val="22"/>
                <w:szCs w:val="22"/>
                <w:highlight w:val="none"/>
                <w:u w:val="single"/>
              </w:rPr>
              <w:t>，否则不得分。</w:t>
            </w:r>
          </w:p>
        </w:tc>
        <w:tc>
          <w:tcPr>
            <w:tcW w:w="421" w:type="pct"/>
            <w:noWrap w:val="0"/>
            <w:vAlign w:val="center"/>
          </w:tcPr>
          <w:p w14:paraId="542FF3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0"/>
                <w:sz w:val="22"/>
                <w:szCs w:val="22"/>
                <w:highlight w:val="none"/>
                <w:lang w:val="en-US" w:eastAsia="zh-CN"/>
              </w:rPr>
            </w:pPr>
            <w:r>
              <w:rPr>
                <w:rFonts w:hint="eastAsia" w:ascii="宋体" w:hAnsi="宋体" w:eastAsia="宋体" w:cs="宋体"/>
                <w:bCs/>
                <w:color w:val="auto"/>
                <w:spacing w:val="0"/>
                <w:sz w:val="22"/>
                <w:szCs w:val="22"/>
                <w:highlight w:val="none"/>
                <w:lang w:val="en-US" w:eastAsia="zh-CN"/>
              </w:rPr>
              <w:t>3</w:t>
            </w:r>
          </w:p>
        </w:tc>
      </w:tr>
      <w:tr w14:paraId="2053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 w:type="pct"/>
            <w:shd w:val="clear" w:color="auto" w:fill="auto"/>
            <w:noWrap w:val="0"/>
            <w:vAlign w:val="center"/>
          </w:tcPr>
          <w:p w14:paraId="06197E5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w:t>
            </w:r>
          </w:p>
        </w:tc>
        <w:tc>
          <w:tcPr>
            <w:tcW w:w="601" w:type="pct"/>
            <w:shd w:val="clear" w:color="auto" w:fill="auto"/>
            <w:noWrap w:val="0"/>
            <w:vAlign w:val="center"/>
          </w:tcPr>
          <w:p w14:paraId="36B6908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同类业绩</w:t>
            </w:r>
          </w:p>
        </w:tc>
        <w:tc>
          <w:tcPr>
            <w:tcW w:w="3671" w:type="pct"/>
            <w:noWrap w:val="0"/>
            <w:vAlign w:val="center"/>
          </w:tcPr>
          <w:p w14:paraId="67FB797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pacing w:val="0"/>
                <w:sz w:val="22"/>
                <w:szCs w:val="22"/>
                <w:highlight w:val="none"/>
                <w:u w:val="single"/>
              </w:rPr>
            </w:pPr>
            <w:r>
              <w:rPr>
                <w:rFonts w:hint="eastAsia" w:ascii="宋体" w:hAnsi="宋体" w:eastAsia="宋体" w:cs="宋体"/>
                <w:bCs/>
                <w:color w:val="auto"/>
                <w:spacing w:val="0"/>
                <w:sz w:val="22"/>
                <w:szCs w:val="22"/>
                <w:highlight w:val="none"/>
              </w:rPr>
              <w:t>根据投标人202</w:t>
            </w:r>
            <w:r>
              <w:rPr>
                <w:rFonts w:hint="eastAsia" w:ascii="宋体" w:hAnsi="宋体" w:eastAsia="宋体" w:cs="宋体"/>
                <w:bCs/>
                <w:color w:val="auto"/>
                <w:spacing w:val="0"/>
                <w:sz w:val="22"/>
                <w:szCs w:val="22"/>
                <w:highlight w:val="none"/>
                <w:lang w:val="en-US" w:eastAsia="zh-CN"/>
              </w:rPr>
              <w:t>3</w:t>
            </w:r>
            <w:r>
              <w:rPr>
                <w:rFonts w:hint="eastAsia" w:ascii="宋体" w:hAnsi="宋体" w:eastAsia="宋体" w:cs="宋体"/>
                <w:bCs/>
                <w:color w:val="auto"/>
                <w:spacing w:val="0"/>
                <w:sz w:val="22"/>
                <w:szCs w:val="22"/>
                <w:highlight w:val="none"/>
              </w:rPr>
              <w:t>年1月1日至今</w:t>
            </w:r>
            <w:r>
              <w:rPr>
                <w:rFonts w:hint="eastAsia" w:ascii="宋体" w:hAnsi="宋体" w:eastAsia="宋体" w:cs="宋体"/>
                <w:color w:val="auto"/>
                <w:kern w:val="0"/>
                <w:sz w:val="22"/>
                <w:szCs w:val="22"/>
                <w:highlight w:val="none"/>
                <w:lang w:val="en-US" w:eastAsia="zh-CN" w:bidi="ar-SA"/>
              </w:rPr>
              <w:t>（以合同签订时间为准）承接</w:t>
            </w:r>
            <w:r>
              <w:rPr>
                <w:rFonts w:hint="eastAsia" w:ascii="宋体" w:hAnsi="宋体" w:eastAsia="宋体" w:cs="宋体"/>
                <w:bCs/>
                <w:color w:val="auto"/>
                <w:spacing w:val="0"/>
                <w:sz w:val="22"/>
                <w:szCs w:val="22"/>
                <w:highlight w:val="none"/>
                <w:lang w:val="en-US" w:eastAsia="zh-CN"/>
              </w:rPr>
              <w:t>同类家具项目</w:t>
            </w:r>
            <w:r>
              <w:rPr>
                <w:rFonts w:hint="eastAsia" w:ascii="宋体" w:hAnsi="宋体" w:eastAsia="宋体" w:cs="宋体"/>
                <w:bCs/>
                <w:color w:val="auto"/>
                <w:spacing w:val="0"/>
                <w:sz w:val="22"/>
                <w:szCs w:val="22"/>
                <w:highlight w:val="none"/>
              </w:rPr>
              <w:t>业绩进行打分：</w:t>
            </w:r>
            <w:r>
              <w:rPr>
                <w:rFonts w:hint="eastAsia" w:ascii="宋体" w:hAnsi="宋体" w:eastAsia="宋体" w:cs="宋体"/>
                <w:bCs/>
                <w:color w:val="auto"/>
                <w:spacing w:val="0"/>
                <w:sz w:val="22"/>
                <w:szCs w:val="22"/>
                <w:highlight w:val="none"/>
                <w:u w:val="none"/>
              </w:rPr>
              <w:t>每</w:t>
            </w:r>
            <w:r>
              <w:rPr>
                <w:rFonts w:hint="eastAsia" w:ascii="宋体" w:hAnsi="宋体" w:eastAsia="宋体" w:cs="宋体"/>
                <w:bCs/>
                <w:color w:val="auto"/>
                <w:spacing w:val="0"/>
                <w:sz w:val="22"/>
                <w:szCs w:val="22"/>
                <w:highlight w:val="none"/>
                <w:u w:val="none"/>
                <w:lang w:val="en-US" w:eastAsia="zh-CN"/>
              </w:rPr>
              <w:t>提供1项有效业绩</w:t>
            </w:r>
            <w:r>
              <w:rPr>
                <w:rFonts w:hint="eastAsia" w:ascii="宋体" w:hAnsi="宋体" w:eastAsia="宋体" w:cs="宋体"/>
                <w:bCs/>
                <w:color w:val="auto"/>
                <w:spacing w:val="0"/>
                <w:sz w:val="22"/>
                <w:szCs w:val="22"/>
                <w:highlight w:val="none"/>
                <w:u w:val="none"/>
              </w:rPr>
              <w:t>得1分，最</w:t>
            </w:r>
            <w:r>
              <w:rPr>
                <w:rFonts w:hint="eastAsia" w:ascii="宋体" w:hAnsi="宋体" w:eastAsia="宋体" w:cs="宋体"/>
                <w:bCs/>
                <w:color w:val="auto"/>
                <w:spacing w:val="0"/>
                <w:sz w:val="22"/>
                <w:szCs w:val="22"/>
                <w:highlight w:val="none"/>
                <w:u w:val="none"/>
                <w:lang w:val="en-US" w:eastAsia="zh-CN"/>
              </w:rPr>
              <w:t>高</w:t>
            </w:r>
            <w:r>
              <w:rPr>
                <w:rFonts w:hint="eastAsia" w:ascii="宋体" w:hAnsi="宋体" w:eastAsia="宋体" w:cs="宋体"/>
                <w:bCs/>
                <w:color w:val="auto"/>
                <w:spacing w:val="0"/>
                <w:sz w:val="22"/>
                <w:szCs w:val="22"/>
                <w:highlight w:val="none"/>
                <w:u w:val="none"/>
              </w:rPr>
              <w:t>3分。</w:t>
            </w:r>
          </w:p>
          <w:p w14:paraId="36622647">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pacing w:val="0"/>
                <w:sz w:val="22"/>
                <w:szCs w:val="22"/>
                <w:highlight w:val="none"/>
              </w:rPr>
            </w:pPr>
            <w:r>
              <w:rPr>
                <w:rFonts w:hint="eastAsia" w:ascii="宋体" w:hAnsi="宋体" w:eastAsia="宋体" w:cs="宋体"/>
                <w:bCs/>
                <w:color w:val="auto"/>
                <w:spacing w:val="0"/>
                <w:sz w:val="22"/>
                <w:szCs w:val="22"/>
                <w:highlight w:val="none"/>
                <w:u w:val="single"/>
              </w:rPr>
              <w:t>注：</w:t>
            </w:r>
            <w:r>
              <w:rPr>
                <w:rFonts w:hint="eastAsia" w:ascii="宋体" w:hAnsi="宋体" w:eastAsia="宋体" w:cs="宋体"/>
                <w:color w:val="auto"/>
                <w:spacing w:val="0"/>
                <w:sz w:val="22"/>
                <w:szCs w:val="22"/>
                <w:highlight w:val="none"/>
                <w:u w:val="single"/>
              </w:rPr>
              <w:t>应提供合同</w:t>
            </w:r>
            <w:r>
              <w:rPr>
                <w:rFonts w:hint="eastAsia" w:ascii="宋体" w:hAnsi="宋体" w:eastAsia="宋体" w:cs="宋体"/>
                <w:color w:val="auto"/>
                <w:spacing w:val="0"/>
                <w:sz w:val="22"/>
                <w:szCs w:val="22"/>
                <w:highlight w:val="none"/>
                <w:u w:val="single"/>
                <w:lang w:val="en-US" w:eastAsia="zh-CN"/>
              </w:rPr>
              <w:t>和</w:t>
            </w:r>
            <w:r>
              <w:rPr>
                <w:rFonts w:hint="eastAsia" w:ascii="宋体" w:hAnsi="宋体" w:eastAsia="宋体" w:cs="宋体"/>
                <w:color w:val="auto"/>
                <w:spacing w:val="0"/>
                <w:sz w:val="22"/>
                <w:szCs w:val="22"/>
                <w:highlight w:val="none"/>
                <w:u w:val="single"/>
              </w:rPr>
              <w:t>验收报告的扫描件并加盖公章，缺一不可，否则不得分</w:t>
            </w:r>
            <w:r>
              <w:rPr>
                <w:rFonts w:hint="eastAsia" w:ascii="宋体" w:hAnsi="宋体" w:eastAsia="宋体" w:cs="宋体"/>
                <w:bCs/>
                <w:color w:val="auto"/>
                <w:spacing w:val="0"/>
                <w:sz w:val="22"/>
                <w:szCs w:val="22"/>
                <w:highlight w:val="none"/>
                <w:u w:val="single"/>
              </w:rPr>
              <w:t>。</w:t>
            </w:r>
          </w:p>
        </w:tc>
        <w:tc>
          <w:tcPr>
            <w:tcW w:w="421" w:type="pct"/>
            <w:noWrap w:val="0"/>
            <w:vAlign w:val="center"/>
          </w:tcPr>
          <w:p w14:paraId="6010FC1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0"/>
                <w:sz w:val="22"/>
                <w:szCs w:val="22"/>
                <w:highlight w:val="none"/>
                <w:lang w:val="en-US" w:eastAsia="zh-CN"/>
              </w:rPr>
            </w:pPr>
            <w:r>
              <w:rPr>
                <w:rFonts w:hint="eastAsia" w:ascii="宋体" w:hAnsi="宋体" w:eastAsia="宋体" w:cs="宋体"/>
                <w:bCs/>
                <w:color w:val="auto"/>
                <w:spacing w:val="0"/>
                <w:sz w:val="22"/>
                <w:szCs w:val="22"/>
                <w:highlight w:val="none"/>
                <w:lang w:val="en-US" w:eastAsia="zh-CN"/>
              </w:rPr>
              <w:t>3</w:t>
            </w:r>
          </w:p>
        </w:tc>
      </w:tr>
      <w:tr w14:paraId="5ADC8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 w:type="pct"/>
            <w:shd w:val="clear" w:color="auto" w:fill="auto"/>
            <w:noWrap w:val="0"/>
            <w:vAlign w:val="center"/>
          </w:tcPr>
          <w:p w14:paraId="616D428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3</w:t>
            </w:r>
          </w:p>
        </w:tc>
        <w:tc>
          <w:tcPr>
            <w:tcW w:w="601" w:type="pct"/>
            <w:shd w:val="clear" w:color="auto" w:fill="auto"/>
            <w:noWrap w:val="0"/>
            <w:vAlign w:val="center"/>
          </w:tcPr>
          <w:p w14:paraId="674B4ED2">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eastAsia="zh-CN" w:bidi="en-US"/>
              </w:rPr>
              <w:t>对采购文件的响应度及符合性</w:t>
            </w:r>
          </w:p>
        </w:tc>
        <w:tc>
          <w:tcPr>
            <w:tcW w:w="3671" w:type="pct"/>
            <w:noWrap w:val="0"/>
            <w:vAlign w:val="center"/>
          </w:tcPr>
          <w:p w14:paraId="043DA1A6">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根据投标产品的各项技术性能指标、功能要求与</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文件要求的符合程度及偏离情况进行打分。所有参数均符合</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的要求的得</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技术参数每</w:t>
            </w:r>
            <w:r>
              <w:rPr>
                <w:rFonts w:hint="eastAsia" w:ascii="宋体" w:hAnsi="宋体" w:eastAsia="宋体" w:cs="宋体"/>
                <w:color w:val="auto"/>
                <w:sz w:val="22"/>
                <w:szCs w:val="22"/>
                <w:highlight w:val="none"/>
              </w:rPr>
              <w:t>负偏离</w:t>
            </w:r>
            <w:r>
              <w:rPr>
                <w:rFonts w:hint="eastAsia" w:ascii="宋体" w:hAnsi="宋体" w:eastAsia="宋体" w:cs="宋体"/>
                <w:color w:val="auto"/>
                <w:sz w:val="22"/>
                <w:szCs w:val="22"/>
                <w:highlight w:val="none"/>
                <w:lang w:eastAsia="zh-CN"/>
              </w:rPr>
              <w:t>一项</w:t>
            </w:r>
            <w:r>
              <w:rPr>
                <w:rFonts w:hint="eastAsia" w:ascii="宋体" w:hAnsi="宋体" w:eastAsia="宋体" w:cs="宋体"/>
                <w:color w:val="auto"/>
                <w:sz w:val="22"/>
                <w:szCs w:val="22"/>
                <w:highlight w:val="none"/>
              </w:rPr>
              <w:t>扣1分，扣完为止。</w:t>
            </w:r>
          </w:p>
          <w:p w14:paraId="6C8B13FF">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Cs/>
                <w:color w:val="auto"/>
                <w:spacing w:val="0"/>
                <w:sz w:val="22"/>
                <w:szCs w:val="22"/>
                <w:highlight w:val="none"/>
                <w:u w:val="single"/>
              </w:rPr>
            </w:pPr>
            <w:r>
              <w:rPr>
                <w:rFonts w:hint="eastAsia" w:ascii="宋体" w:hAnsi="宋体" w:eastAsia="宋体" w:cs="宋体"/>
                <w:color w:val="auto"/>
                <w:sz w:val="22"/>
                <w:szCs w:val="22"/>
                <w:highlight w:val="none"/>
              </w:rPr>
              <w:t>注：投标人须在《</w:t>
            </w:r>
            <w:r>
              <w:rPr>
                <w:rFonts w:hint="eastAsia" w:ascii="宋体" w:hAnsi="宋体" w:cs="宋体"/>
                <w:color w:val="auto"/>
                <w:sz w:val="22"/>
                <w:szCs w:val="22"/>
                <w:highlight w:val="none"/>
                <w:lang w:val="en-US" w:eastAsia="zh-CN"/>
              </w:rPr>
              <w:t>应答表</w:t>
            </w:r>
            <w:r>
              <w:rPr>
                <w:rFonts w:hint="eastAsia" w:ascii="宋体" w:hAnsi="宋体" w:eastAsia="宋体" w:cs="宋体"/>
                <w:color w:val="auto"/>
                <w:sz w:val="22"/>
                <w:szCs w:val="22"/>
                <w:highlight w:val="none"/>
              </w:rPr>
              <w:t>》中明确偏离情况</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必须提供所投产品的具体参数值，完全复制</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要求的将承担不利评审风险。</w:t>
            </w:r>
          </w:p>
        </w:tc>
        <w:tc>
          <w:tcPr>
            <w:tcW w:w="421" w:type="pct"/>
            <w:noWrap w:val="0"/>
            <w:vAlign w:val="center"/>
          </w:tcPr>
          <w:p w14:paraId="11E288F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pacing w:val="0"/>
                <w:sz w:val="22"/>
                <w:szCs w:val="22"/>
                <w:highlight w:val="none"/>
                <w:lang w:val="en-US" w:eastAsia="zh-CN"/>
              </w:rPr>
            </w:pPr>
            <w:r>
              <w:rPr>
                <w:rFonts w:hint="eastAsia" w:ascii="宋体" w:hAnsi="宋体" w:cs="宋体"/>
                <w:bCs/>
                <w:color w:val="auto"/>
                <w:spacing w:val="0"/>
                <w:sz w:val="22"/>
                <w:szCs w:val="22"/>
                <w:highlight w:val="none"/>
                <w:lang w:val="en-US" w:eastAsia="zh-CN"/>
              </w:rPr>
              <w:t>15</w:t>
            </w:r>
          </w:p>
        </w:tc>
      </w:tr>
      <w:tr w14:paraId="787A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 w:type="pct"/>
            <w:shd w:val="clear" w:color="auto" w:fill="auto"/>
            <w:noWrap w:val="0"/>
            <w:vAlign w:val="center"/>
          </w:tcPr>
          <w:p w14:paraId="02689D5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4</w:t>
            </w:r>
          </w:p>
        </w:tc>
        <w:tc>
          <w:tcPr>
            <w:tcW w:w="601" w:type="pct"/>
            <w:shd w:val="clear" w:color="auto" w:fill="auto"/>
            <w:noWrap w:val="0"/>
            <w:vAlign w:val="center"/>
          </w:tcPr>
          <w:p w14:paraId="66F63AE3">
            <w:pPr>
              <w:keepNext w:val="0"/>
              <w:keepLines w:val="0"/>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rPr>
              <w:t>生产设备配置情况</w:t>
            </w:r>
          </w:p>
        </w:tc>
        <w:tc>
          <w:tcPr>
            <w:tcW w:w="3671" w:type="pct"/>
            <w:noWrap w:val="0"/>
            <w:vAlign w:val="center"/>
          </w:tcPr>
          <w:p w14:paraId="5A9EF495">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投标人提供制造商核心专业生产设备</w:t>
            </w:r>
            <w:r>
              <w:rPr>
                <w:rFonts w:hint="eastAsia" w:ascii="宋体" w:hAnsi="宋体" w:eastAsia="宋体" w:cs="宋体"/>
                <w:color w:val="auto"/>
                <w:kern w:val="2"/>
                <w:sz w:val="22"/>
                <w:szCs w:val="22"/>
                <w:highlight w:val="none"/>
                <w:lang w:val="en-US" w:eastAsia="zh-CN" w:bidi="ar-SA"/>
              </w:rPr>
              <w:t>，</w:t>
            </w:r>
            <w:r>
              <w:rPr>
                <w:rFonts w:hint="eastAsia" w:ascii="宋体" w:hAnsi="宋体" w:cs="宋体"/>
                <w:color w:val="auto"/>
                <w:kern w:val="2"/>
                <w:sz w:val="22"/>
                <w:szCs w:val="22"/>
                <w:highlight w:val="none"/>
                <w:lang w:val="en-US" w:eastAsia="zh-CN" w:bidi="ar-SA"/>
              </w:rPr>
              <w:t>每提供1项核心生产设备得1分，最高得6分</w:t>
            </w:r>
            <w:r>
              <w:rPr>
                <w:rFonts w:hint="eastAsia" w:ascii="宋体" w:hAnsi="宋体" w:eastAsia="宋体" w:cs="宋体"/>
                <w:color w:val="auto"/>
                <w:kern w:val="2"/>
                <w:sz w:val="22"/>
                <w:szCs w:val="22"/>
                <w:highlight w:val="none"/>
                <w:lang w:val="en-US" w:eastAsia="zh-CN" w:bidi="ar-SA"/>
              </w:rPr>
              <w:t>。</w:t>
            </w:r>
          </w:p>
          <w:p w14:paraId="6B6C209D">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核心生产设备按品类，具体要求如下：开料设备、封边设备、钻铣设备、涂装设备、切割设备、弯管设备、焊接设备、加工中心等。</w:t>
            </w:r>
          </w:p>
          <w:p w14:paraId="67DEAEF1">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bCs/>
                <w:color w:val="auto"/>
                <w:spacing w:val="0"/>
                <w:sz w:val="22"/>
                <w:szCs w:val="22"/>
                <w:highlight w:val="none"/>
              </w:rPr>
            </w:pPr>
            <w:r>
              <w:rPr>
                <w:rFonts w:hint="eastAsia" w:ascii="宋体" w:hAnsi="宋体" w:eastAsia="宋体" w:cs="宋体"/>
                <w:color w:val="auto"/>
                <w:kern w:val="2"/>
                <w:sz w:val="22"/>
                <w:szCs w:val="22"/>
                <w:highlight w:val="none"/>
                <w:lang w:val="en-US" w:eastAsia="zh-CN" w:bidi="ar-SA"/>
              </w:rPr>
              <w:t>注：须按以上顺序提供相应设备的实景照片以及发票复印件（</w:t>
            </w:r>
            <w:r>
              <w:rPr>
                <w:rFonts w:hint="eastAsia" w:ascii="宋体" w:hAnsi="宋体" w:eastAsia="宋体" w:cs="宋体"/>
                <w:color w:val="auto"/>
                <w:kern w:val="2"/>
                <w:sz w:val="22"/>
                <w:szCs w:val="22"/>
                <w:highlight w:val="none"/>
              </w:rPr>
              <w:t>租赁设备的提供租赁合同复印件</w:t>
            </w:r>
            <w:r>
              <w:rPr>
                <w:rFonts w:hint="eastAsia" w:ascii="宋体" w:hAnsi="宋体" w:eastAsia="宋体" w:cs="宋体"/>
                <w:color w:val="auto"/>
                <w:kern w:val="2"/>
                <w:sz w:val="22"/>
                <w:szCs w:val="22"/>
                <w:highlight w:val="none"/>
                <w:lang w:val="en-US" w:eastAsia="zh-CN" w:bidi="ar-SA"/>
              </w:rPr>
              <w:t>）加盖投标人单位公章，提供的设备名称叫法不一致，实则为同种设备或同种更先进的设备，需提供证明材料经评委会一致认可可以得分。</w:t>
            </w:r>
          </w:p>
        </w:tc>
        <w:tc>
          <w:tcPr>
            <w:tcW w:w="421" w:type="pct"/>
            <w:noWrap w:val="0"/>
            <w:vAlign w:val="center"/>
          </w:tcPr>
          <w:p w14:paraId="0BDCF4E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0"/>
                <w:sz w:val="22"/>
                <w:szCs w:val="22"/>
                <w:highlight w:val="none"/>
                <w:lang w:val="en-US" w:eastAsia="zh-CN"/>
              </w:rPr>
            </w:pPr>
            <w:r>
              <w:rPr>
                <w:rFonts w:hint="eastAsia" w:ascii="宋体" w:hAnsi="宋体" w:eastAsia="宋体" w:cs="宋体"/>
                <w:bCs/>
                <w:color w:val="auto"/>
                <w:spacing w:val="0"/>
                <w:sz w:val="22"/>
                <w:szCs w:val="22"/>
                <w:highlight w:val="none"/>
                <w:lang w:val="en-US" w:eastAsia="zh-CN"/>
              </w:rPr>
              <w:t>6</w:t>
            </w:r>
          </w:p>
        </w:tc>
      </w:tr>
      <w:tr w14:paraId="45D9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304" w:type="pct"/>
            <w:noWrap w:val="0"/>
            <w:vAlign w:val="center"/>
          </w:tcPr>
          <w:p w14:paraId="436A89C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0"/>
                <w:kern w:val="2"/>
                <w:sz w:val="22"/>
                <w:szCs w:val="22"/>
                <w:highlight w:val="none"/>
                <w:lang w:val="en-US" w:eastAsia="zh-CN"/>
              </w:rPr>
            </w:pPr>
            <w:r>
              <w:rPr>
                <w:rFonts w:hint="eastAsia" w:ascii="宋体" w:hAnsi="宋体" w:eastAsia="宋体" w:cs="宋体"/>
                <w:bCs/>
                <w:color w:val="auto"/>
                <w:spacing w:val="0"/>
                <w:sz w:val="22"/>
                <w:szCs w:val="22"/>
                <w:highlight w:val="none"/>
                <w:lang w:val="en-US" w:eastAsia="zh-CN"/>
              </w:rPr>
              <w:t>5</w:t>
            </w:r>
          </w:p>
        </w:tc>
        <w:tc>
          <w:tcPr>
            <w:tcW w:w="601" w:type="pct"/>
            <w:noWrap w:val="0"/>
            <w:vAlign w:val="center"/>
          </w:tcPr>
          <w:p w14:paraId="09851B7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kern w:val="2"/>
                <w:sz w:val="22"/>
                <w:szCs w:val="22"/>
                <w:highlight w:val="none"/>
              </w:rPr>
            </w:pPr>
            <w:r>
              <w:rPr>
                <w:rFonts w:hint="eastAsia" w:ascii="宋体" w:hAnsi="宋体" w:eastAsia="宋体" w:cs="宋体"/>
                <w:color w:val="auto"/>
                <w:spacing w:val="0"/>
                <w:sz w:val="22"/>
                <w:szCs w:val="22"/>
                <w:highlight w:val="none"/>
                <w:lang w:val="en-US" w:eastAsia="zh-CN"/>
              </w:rPr>
              <w:t>同类</w:t>
            </w:r>
            <w:r>
              <w:rPr>
                <w:rFonts w:hint="eastAsia" w:ascii="宋体" w:hAnsi="宋体" w:eastAsia="宋体" w:cs="宋体"/>
                <w:color w:val="auto"/>
                <w:spacing w:val="0"/>
                <w:sz w:val="22"/>
                <w:szCs w:val="22"/>
                <w:highlight w:val="none"/>
              </w:rPr>
              <w:t>成品质量性能</w:t>
            </w:r>
          </w:p>
        </w:tc>
        <w:tc>
          <w:tcPr>
            <w:tcW w:w="3671" w:type="pct"/>
            <w:noWrap w:val="0"/>
            <w:vAlign w:val="center"/>
          </w:tcPr>
          <w:p w14:paraId="6FB1107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pacing w:val="0"/>
                <w:kern w:val="2"/>
                <w:sz w:val="22"/>
                <w:szCs w:val="22"/>
                <w:highlight w:val="none"/>
              </w:rPr>
            </w:pPr>
            <w:r>
              <w:rPr>
                <w:rFonts w:hint="eastAsia" w:ascii="宋体" w:hAnsi="宋体" w:eastAsia="宋体" w:cs="宋体"/>
                <w:bCs/>
                <w:color w:val="auto"/>
                <w:spacing w:val="0"/>
                <w:kern w:val="2"/>
                <w:sz w:val="22"/>
                <w:szCs w:val="22"/>
                <w:highlight w:val="none"/>
              </w:rPr>
              <w:t>提供投标人202</w:t>
            </w:r>
            <w:r>
              <w:rPr>
                <w:rFonts w:hint="eastAsia" w:ascii="宋体" w:hAnsi="宋体" w:eastAsia="宋体" w:cs="宋体"/>
                <w:bCs/>
                <w:color w:val="auto"/>
                <w:spacing w:val="0"/>
                <w:kern w:val="2"/>
                <w:sz w:val="22"/>
                <w:szCs w:val="22"/>
                <w:highlight w:val="none"/>
                <w:lang w:val="en-US" w:eastAsia="zh-CN"/>
              </w:rPr>
              <w:t>4</w:t>
            </w:r>
            <w:r>
              <w:rPr>
                <w:rFonts w:hint="eastAsia" w:ascii="宋体" w:hAnsi="宋体" w:eastAsia="宋体" w:cs="宋体"/>
                <w:bCs/>
                <w:color w:val="auto"/>
                <w:spacing w:val="0"/>
                <w:kern w:val="2"/>
                <w:sz w:val="22"/>
                <w:szCs w:val="22"/>
                <w:highlight w:val="none"/>
              </w:rPr>
              <w:t>年1月1日以来送检第三方具有相关检测资质（CMA、CNAS）的</w:t>
            </w:r>
            <w:r>
              <w:rPr>
                <w:rFonts w:hint="eastAsia" w:ascii="宋体" w:hAnsi="宋体" w:eastAsia="宋体" w:cs="宋体"/>
                <w:bCs/>
                <w:color w:val="auto"/>
                <w:spacing w:val="0"/>
                <w:kern w:val="2"/>
                <w:sz w:val="22"/>
                <w:szCs w:val="22"/>
                <w:highlight w:val="none"/>
                <w:lang w:eastAsia="zh-CN"/>
              </w:rPr>
              <w:t>检测</w:t>
            </w:r>
            <w:r>
              <w:rPr>
                <w:rFonts w:hint="eastAsia" w:ascii="宋体" w:hAnsi="宋体" w:eastAsia="宋体" w:cs="宋体"/>
                <w:bCs/>
                <w:color w:val="auto"/>
                <w:spacing w:val="0"/>
                <w:kern w:val="2"/>
                <w:sz w:val="22"/>
                <w:szCs w:val="22"/>
                <w:highlight w:val="none"/>
              </w:rPr>
              <w:t>机构出具的</w:t>
            </w:r>
            <w:r>
              <w:rPr>
                <w:rFonts w:hint="eastAsia" w:ascii="宋体" w:hAnsi="宋体" w:eastAsia="宋体" w:cs="宋体"/>
                <w:bCs/>
                <w:color w:val="auto"/>
                <w:spacing w:val="0"/>
                <w:kern w:val="2"/>
                <w:sz w:val="22"/>
                <w:szCs w:val="22"/>
                <w:highlight w:val="none"/>
                <w:lang w:val="en-US" w:eastAsia="zh-CN"/>
              </w:rPr>
              <w:t>成品</w:t>
            </w:r>
            <w:r>
              <w:rPr>
                <w:rFonts w:hint="eastAsia" w:ascii="宋体" w:hAnsi="宋体" w:eastAsia="宋体" w:cs="宋体"/>
                <w:bCs/>
                <w:color w:val="auto"/>
                <w:spacing w:val="0"/>
                <w:kern w:val="2"/>
                <w:sz w:val="22"/>
                <w:szCs w:val="22"/>
                <w:highlight w:val="none"/>
              </w:rPr>
              <w:t>合格检测报告：</w:t>
            </w:r>
          </w:p>
          <w:p w14:paraId="111577B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pacing w:val="0"/>
                <w:kern w:val="2"/>
                <w:sz w:val="22"/>
                <w:szCs w:val="22"/>
                <w:highlight w:val="none"/>
              </w:rPr>
            </w:pPr>
            <w:r>
              <w:rPr>
                <w:rFonts w:hint="eastAsia" w:ascii="宋体" w:hAnsi="宋体" w:eastAsia="宋体" w:cs="宋体"/>
                <w:bCs/>
                <w:color w:val="auto"/>
                <w:spacing w:val="0"/>
                <w:kern w:val="2"/>
                <w:sz w:val="22"/>
                <w:szCs w:val="22"/>
                <w:highlight w:val="none"/>
              </w:rPr>
              <w:t>投标人须提供符合核心技术性能要求的与采购标的同品类</w:t>
            </w:r>
            <w:r>
              <w:rPr>
                <w:rFonts w:hint="eastAsia" w:ascii="宋体" w:hAnsi="宋体" w:eastAsia="宋体" w:cs="宋体"/>
                <w:bCs/>
                <w:color w:val="auto"/>
                <w:spacing w:val="0"/>
                <w:kern w:val="2"/>
                <w:sz w:val="22"/>
                <w:szCs w:val="22"/>
                <w:highlight w:val="none"/>
                <w:lang w:eastAsia="zh-CN"/>
              </w:rPr>
              <w:t>（</w:t>
            </w:r>
            <w:r>
              <w:rPr>
                <w:rFonts w:hint="eastAsia" w:ascii="宋体" w:hAnsi="宋体" w:cs="宋体"/>
                <w:bCs/>
                <w:color w:val="auto"/>
                <w:spacing w:val="0"/>
                <w:kern w:val="2"/>
                <w:sz w:val="22"/>
                <w:szCs w:val="22"/>
                <w:highlight w:val="none"/>
                <w:lang w:val="en-US" w:eastAsia="zh-CN"/>
              </w:rPr>
              <w:t>课桌</w:t>
            </w:r>
            <w:r>
              <w:rPr>
                <w:rFonts w:hint="eastAsia" w:ascii="宋体" w:hAnsi="宋体" w:eastAsia="宋体" w:cs="宋体"/>
                <w:bCs/>
                <w:color w:val="auto"/>
                <w:spacing w:val="0"/>
                <w:kern w:val="2"/>
                <w:sz w:val="22"/>
                <w:szCs w:val="22"/>
                <w:highlight w:val="none"/>
                <w:lang w:val="en-US" w:eastAsia="zh-CN"/>
              </w:rPr>
              <w:t>、椅子</w:t>
            </w:r>
            <w:r>
              <w:rPr>
                <w:rFonts w:hint="eastAsia" w:ascii="宋体" w:hAnsi="宋体" w:eastAsia="宋体" w:cs="宋体"/>
                <w:bCs/>
                <w:color w:val="auto"/>
                <w:spacing w:val="0"/>
                <w:kern w:val="2"/>
                <w:sz w:val="22"/>
                <w:szCs w:val="22"/>
                <w:highlight w:val="none"/>
                <w:lang w:eastAsia="zh-CN"/>
              </w:rPr>
              <w:t>）</w:t>
            </w:r>
            <w:r>
              <w:rPr>
                <w:rFonts w:hint="eastAsia" w:ascii="宋体" w:hAnsi="宋体" w:eastAsia="宋体" w:cs="宋体"/>
                <w:bCs/>
                <w:color w:val="auto"/>
                <w:spacing w:val="0"/>
                <w:kern w:val="2"/>
                <w:sz w:val="22"/>
                <w:szCs w:val="22"/>
                <w:highlight w:val="none"/>
              </w:rPr>
              <w:t xml:space="preserve">成品检测报告，核心技术指标评分内容如下： </w:t>
            </w:r>
          </w:p>
          <w:p w14:paraId="45D36A2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pacing w:val="0"/>
                <w:kern w:val="2"/>
                <w:sz w:val="22"/>
                <w:szCs w:val="22"/>
                <w:highlight w:val="none"/>
              </w:rPr>
            </w:pPr>
            <w:r>
              <w:rPr>
                <w:rFonts w:hint="eastAsia" w:ascii="宋体" w:hAnsi="宋体" w:eastAsia="宋体" w:cs="宋体"/>
                <w:bCs/>
                <w:color w:val="auto"/>
                <w:spacing w:val="0"/>
                <w:kern w:val="2"/>
                <w:sz w:val="22"/>
                <w:szCs w:val="22"/>
                <w:highlight w:val="none"/>
              </w:rPr>
              <w:t xml:space="preserve">1.力学性能(稳定性全项、符合采购需求的强度及耐久性全项），符合得 </w:t>
            </w:r>
            <w:r>
              <w:rPr>
                <w:rFonts w:hint="eastAsia" w:ascii="宋体" w:hAnsi="宋体" w:cs="宋体"/>
                <w:bCs/>
                <w:color w:val="auto"/>
                <w:spacing w:val="0"/>
                <w:kern w:val="2"/>
                <w:sz w:val="22"/>
                <w:szCs w:val="22"/>
                <w:highlight w:val="none"/>
                <w:lang w:val="en-US" w:eastAsia="zh-CN"/>
              </w:rPr>
              <w:t>2</w:t>
            </w:r>
            <w:r>
              <w:rPr>
                <w:rFonts w:hint="eastAsia" w:ascii="宋体" w:hAnsi="宋体" w:eastAsia="宋体" w:cs="宋体"/>
                <w:bCs/>
                <w:color w:val="auto"/>
                <w:spacing w:val="0"/>
                <w:kern w:val="2"/>
                <w:sz w:val="22"/>
                <w:szCs w:val="22"/>
                <w:highlight w:val="none"/>
              </w:rPr>
              <w:t xml:space="preserve">分,不符合不得分； </w:t>
            </w:r>
          </w:p>
          <w:p w14:paraId="7CFE1A7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pacing w:val="0"/>
                <w:kern w:val="2"/>
                <w:sz w:val="22"/>
                <w:szCs w:val="22"/>
                <w:highlight w:val="none"/>
              </w:rPr>
            </w:pPr>
            <w:r>
              <w:rPr>
                <w:rFonts w:hint="eastAsia" w:ascii="宋体" w:hAnsi="宋体" w:eastAsia="宋体" w:cs="宋体"/>
                <w:bCs/>
                <w:color w:val="auto"/>
                <w:spacing w:val="0"/>
                <w:kern w:val="2"/>
                <w:sz w:val="22"/>
                <w:szCs w:val="22"/>
                <w:highlight w:val="none"/>
              </w:rPr>
              <w:t xml:space="preserve">2.产品涉及的表面理化性能（如：漆膜、金属件、封边条表面胶合强度等），符合得 </w:t>
            </w:r>
            <w:r>
              <w:rPr>
                <w:rFonts w:hint="eastAsia" w:ascii="宋体" w:hAnsi="宋体" w:cs="宋体"/>
                <w:bCs/>
                <w:color w:val="auto"/>
                <w:spacing w:val="0"/>
                <w:kern w:val="2"/>
                <w:sz w:val="22"/>
                <w:szCs w:val="22"/>
                <w:highlight w:val="none"/>
                <w:lang w:val="en-US" w:eastAsia="zh-CN"/>
              </w:rPr>
              <w:t>1</w:t>
            </w:r>
            <w:r>
              <w:rPr>
                <w:rFonts w:hint="eastAsia" w:ascii="宋体" w:hAnsi="宋体" w:eastAsia="宋体" w:cs="宋体"/>
                <w:bCs/>
                <w:color w:val="auto"/>
                <w:spacing w:val="0"/>
                <w:kern w:val="2"/>
                <w:sz w:val="22"/>
                <w:szCs w:val="22"/>
                <w:highlight w:val="none"/>
              </w:rPr>
              <w:t xml:space="preserve"> 分，不符合不得分； </w:t>
            </w:r>
          </w:p>
          <w:p w14:paraId="29F9D6D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pacing w:val="0"/>
                <w:kern w:val="2"/>
                <w:sz w:val="22"/>
                <w:szCs w:val="22"/>
                <w:highlight w:val="none"/>
              </w:rPr>
            </w:pPr>
            <w:r>
              <w:rPr>
                <w:rFonts w:hint="eastAsia" w:ascii="宋体" w:hAnsi="宋体" w:eastAsia="宋体" w:cs="宋体"/>
                <w:bCs/>
                <w:color w:val="auto"/>
                <w:spacing w:val="0"/>
                <w:kern w:val="2"/>
                <w:sz w:val="22"/>
                <w:szCs w:val="22"/>
                <w:highlight w:val="none"/>
              </w:rPr>
              <w:t xml:space="preserve">3.甲醛释放量按对应的国家标准执行评分（选取两项中的其中一项）： </w:t>
            </w:r>
          </w:p>
          <w:p w14:paraId="7C655BF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pacing w:val="0"/>
                <w:kern w:val="2"/>
                <w:sz w:val="22"/>
                <w:szCs w:val="22"/>
                <w:highlight w:val="none"/>
              </w:rPr>
            </w:pPr>
            <w:r>
              <w:rPr>
                <w:rFonts w:hint="eastAsia" w:ascii="宋体" w:hAnsi="宋体" w:eastAsia="宋体" w:cs="宋体"/>
                <w:bCs/>
                <w:color w:val="auto"/>
                <w:spacing w:val="0"/>
                <w:kern w:val="2"/>
                <w:sz w:val="22"/>
                <w:szCs w:val="22"/>
                <w:highlight w:val="none"/>
              </w:rPr>
              <w:t xml:space="preserve">（1）试验方法按1m³气候箱法进行，甲醛释放量≤0.05mg/m³ 得 </w:t>
            </w:r>
            <w:r>
              <w:rPr>
                <w:rFonts w:hint="eastAsia" w:ascii="宋体" w:hAnsi="宋体" w:eastAsia="宋体" w:cs="宋体"/>
                <w:bCs/>
                <w:color w:val="auto"/>
                <w:spacing w:val="0"/>
                <w:kern w:val="2"/>
                <w:sz w:val="22"/>
                <w:szCs w:val="22"/>
                <w:highlight w:val="none"/>
                <w:lang w:val="en-US" w:eastAsia="zh-CN"/>
              </w:rPr>
              <w:t>2</w:t>
            </w:r>
            <w:r>
              <w:rPr>
                <w:rFonts w:hint="eastAsia" w:ascii="宋体" w:hAnsi="宋体" w:eastAsia="宋体" w:cs="宋体"/>
                <w:bCs/>
                <w:color w:val="auto"/>
                <w:spacing w:val="0"/>
                <w:kern w:val="2"/>
                <w:sz w:val="22"/>
                <w:szCs w:val="22"/>
                <w:highlight w:val="none"/>
              </w:rPr>
              <w:t xml:space="preserve"> 分,0.05（不含）～0.124mg/m³ 得 1 分； </w:t>
            </w:r>
          </w:p>
          <w:p w14:paraId="1D33C348">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pacing w:val="0"/>
                <w:kern w:val="2"/>
                <w:sz w:val="22"/>
                <w:szCs w:val="22"/>
                <w:highlight w:val="none"/>
              </w:rPr>
            </w:pPr>
            <w:r>
              <w:rPr>
                <w:rFonts w:hint="eastAsia" w:ascii="宋体" w:hAnsi="宋体" w:eastAsia="宋体" w:cs="宋体"/>
                <w:bCs/>
                <w:color w:val="auto"/>
                <w:spacing w:val="0"/>
                <w:kern w:val="2"/>
                <w:sz w:val="22"/>
                <w:szCs w:val="22"/>
                <w:highlight w:val="none"/>
              </w:rPr>
              <w:t xml:space="preserve">（2）试验方法按24h干燥法进行，甲醛释放量≤0.5mg/L 得 </w:t>
            </w:r>
            <w:r>
              <w:rPr>
                <w:rFonts w:hint="eastAsia" w:ascii="宋体" w:hAnsi="宋体" w:eastAsia="宋体" w:cs="宋体"/>
                <w:bCs/>
                <w:color w:val="auto"/>
                <w:spacing w:val="0"/>
                <w:kern w:val="2"/>
                <w:sz w:val="22"/>
                <w:szCs w:val="22"/>
                <w:highlight w:val="none"/>
                <w:lang w:val="en-US" w:eastAsia="zh-CN"/>
              </w:rPr>
              <w:t>2</w:t>
            </w:r>
            <w:r>
              <w:rPr>
                <w:rFonts w:hint="eastAsia" w:ascii="宋体" w:hAnsi="宋体" w:eastAsia="宋体" w:cs="宋体"/>
                <w:bCs/>
                <w:color w:val="auto"/>
                <w:spacing w:val="0"/>
                <w:kern w:val="2"/>
                <w:sz w:val="22"/>
                <w:szCs w:val="22"/>
                <w:highlight w:val="none"/>
              </w:rPr>
              <w:t xml:space="preserve"> 分,0.5（不含）～1.5mg/L 得 1 分。  </w:t>
            </w:r>
          </w:p>
          <w:p w14:paraId="6D218B34">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pacing w:val="0"/>
                <w:kern w:val="2"/>
                <w:sz w:val="22"/>
                <w:szCs w:val="22"/>
                <w:highlight w:val="none"/>
              </w:rPr>
            </w:pPr>
            <w:r>
              <w:rPr>
                <w:rFonts w:hint="eastAsia" w:ascii="宋体" w:hAnsi="宋体" w:eastAsia="宋体" w:cs="宋体"/>
                <w:bCs/>
                <w:color w:val="auto"/>
                <w:spacing w:val="0"/>
                <w:kern w:val="2"/>
                <w:sz w:val="22"/>
                <w:szCs w:val="22"/>
                <w:highlight w:val="none"/>
              </w:rPr>
              <w:t xml:space="preserve">4.除第 3 项所涉及的甲醛释放量以外的安全性能和有害物质限量，符合得 </w:t>
            </w:r>
            <w:r>
              <w:rPr>
                <w:rFonts w:hint="eastAsia" w:ascii="宋体" w:hAnsi="宋体" w:cs="宋体"/>
                <w:bCs/>
                <w:color w:val="auto"/>
                <w:spacing w:val="0"/>
                <w:kern w:val="2"/>
                <w:sz w:val="22"/>
                <w:szCs w:val="22"/>
                <w:highlight w:val="none"/>
                <w:lang w:val="en-US" w:eastAsia="zh-CN"/>
              </w:rPr>
              <w:t>1</w:t>
            </w:r>
            <w:r>
              <w:rPr>
                <w:rFonts w:hint="eastAsia" w:ascii="宋体" w:hAnsi="宋体" w:eastAsia="宋体" w:cs="宋体"/>
                <w:bCs/>
                <w:color w:val="auto"/>
                <w:spacing w:val="0"/>
                <w:kern w:val="2"/>
                <w:sz w:val="22"/>
                <w:szCs w:val="22"/>
                <w:highlight w:val="none"/>
              </w:rPr>
              <w:t xml:space="preserve"> 分，不符合不得分。</w:t>
            </w:r>
          </w:p>
          <w:p w14:paraId="30C85A22">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bCs/>
                <w:color w:val="auto"/>
                <w:spacing w:val="0"/>
                <w:kern w:val="2"/>
                <w:sz w:val="22"/>
                <w:szCs w:val="22"/>
                <w:highlight w:val="none"/>
                <w:lang w:val="en-US" w:eastAsia="zh-CN"/>
              </w:rPr>
            </w:pPr>
            <w:r>
              <w:rPr>
                <w:rFonts w:hint="eastAsia" w:ascii="宋体" w:hAnsi="宋体" w:eastAsia="宋体" w:cs="宋体"/>
                <w:bCs/>
                <w:color w:val="auto"/>
                <w:spacing w:val="0"/>
                <w:kern w:val="2"/>
                <w:sz w:val="22"/>
                <w:szCs w:val="22"/>
                <w:highlight w:val="none"/>
              </w:rPr>
              <w:t>注：提供符合要求的检测报告复印件并加盖公章；上述检测报告的受检单位（或委托单位）应为投标人或其产品生产厂家，否则不得分。</w:t>
            </w:r>
            <w:r>
              <w:rPr>
                <w:rFonts w:hint="eastAsia" w:ascii="宋体" w:hAnsi="宋体" w:cs="宋体"/>
                <w:bCs/>
                <w:color w:val="auto"/>
                <w:spacing w:val="0"/>
                <w:kern w:val="2"/>
                <w:sz w:val="22"/>
                <w:szCs w:val="22"/>
                <w:highlight w:val="none"/>
                <w:lang w:val="en-US" w:eastAsia="zh-CN"/>
              </w:rPr>
              <w:t>为便于评审专家评审，建议投标人将评分项所需检测项目，以下划线或者框框标记出来，以免专家漏看错看。</w:t>
            </w:r>
          </w:p>
        </w:tc>
        <w:tc>
          <w:tcPr>
            <w:tcW w:w="421" w:type="pct"/>
            <w:noWrap w:val="0"/>
            <w:vAlign w:val="center"/>
          </w:tcPr>
          <w:p w14:paraId="180466F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0"/>
                <w:sz w:val="22"/>
                <w:szCs w:val="22"/>
                <w:highlight w:val="none"/>
                <w:lang w:val="en-US" w:eastAsia="zh-CN"/>
              </w:rPr>
            </w:pPr>
            <w:r>
              <w:rPr>
                <w:rFonts w:hint="eastAsia" w:ascii="宋体" w:hAnsi="宋体" w:eastAsia="宋体" w:cs="宋体"/>
                <w:bCs/>
                <w:color w:val="auto"/>
                <w:spacing w:val="0"/>
                <w:sz w:val="22"/>
                <w:szCs w:val="22"/>
                <w:highlight w:val="none"/>
                <w:lang w:val="en-US" w:eastAsia="zh-CN"/>
              </w:rPr>
              <w:t>6</w:t>
            </w:r>
          </w:p>
        </w:tc>
      </w:tr>
      <w:tr w14:paraId="4DFE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 w:type="pct"/>
            <w:noWrap w:val="0"/>
            <w:vAlign w:val="center"/>
          </w:tcPr>
          <w:p w14:paraId="0180996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0"/>
                <w:kern w:val="2"/>
                <w:sz w:val="22"/>
                <w:szCs w:val="22"/>
                <w:highlight w:val="none"/>
                <w:lang w:val="en-US" w:eastAsia="zh-CN"/>
              </w:rPr>
            </w:pPr>
            <w:r>
              <w:rPr>
                <w:rFonts w:hint="eastAsia" w:ascii="宋体" w:hAnsi="宋体" w:eastAsia="宋体" w:cs="宋体"/>
                <w:bCs/>
                <w:color w:val="auto"/>
                <w:spacing w:val="0"/>
                <w:sz w:val="22"/>
                <w:szCs w:val="22"/>
                <w:highlight w:val="none"/>
                <w:lang w:val="en-US" w:eastAsia="zh-CN"/>
              </w:rPr>
              <w:t>6</w:t>
            </w:r>
          </w:p>
        </w:tc>
        <w:tc>
          <w:tcPr>
            <w:tcW w:w="601" w:type="pct"/>
            <w:noWrap w:val="0"/>
            <w:vAlign w:val="center"/>
          </w:tcPr>
          <w:p w14:paraId="64ECD7D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kern w:val="2"/>
                <w:sz w:val="22"/>
                <w:szCs w:val="22"/>
                <w:highlight w:val="none"/>
              </w:rPr>
            </w:pPr>
            <w:r>
              <w:rPr>
                <w:rFonts w:hint="eastAsia" w:ascii="宋体" w:hAnsi="宋体" w:eastAsia="宋体" w:cs="宋体"/>
                <w:color w:val="auto"/>
                <w:spacing w:val="0"/>
                <w:sz w:val="22"/>
                <w:szCs w:val="22"/>
                <w:highlight w:val="none"/>
              </w:rPr>
              <w:t>原材料质量性能</w:t>
            </w:r>
          </w:p>
        </w:tc>
        <w:tc>
          <w:tcPr>
            <w:tcW w:w="3671" w:type="pct"/>
            <w:noWrap w:val="0"/>
            <w:vAlign w:val="center"/>
          </w:tcPr>
          <w:p w14:paraId="4A918D9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pacing w:val="0"/>
                <w:sz w:val="22"/>
                <w:szCs w:val="22"/>
                <w:highlight w:val="none"/>
              </w:rPr>
            </w:pPr>
            <w:r>
              <w:rPr>
                <w:rFonts w:hint="eastAsia" w:ascii="宋体" w:hAnsi="宋体" w:eastAsia="宋体" w:cs="宋体"/>
                <w:bCs/>
                <w:color w:val="auto"/>
                <w:spacing w:val="0"/>
                <w:sz w:val="22"/>
                <w:szCs w:val="22"/>
                <w:highlight w:val="none"/>
              </w:rPr>
              <w:t>提供投标人202</w:t>
            </w:r>
            <w:r>
              <w:rPr>
                <w:rFonts w:hint="eastAsia" w:ascii="宋体" w:hAnsi="宋体" w:eastAsia="宋体" w:cs="宋体"/>
                <w:bCs/>
                <w:color w:val="auto"/>
                <w:spacing w:val="0"/>
                <w:sz w:val="22"/>
                <w:szCs w:val="22"/>
                <w:highlight w:val="none"/>
                <w:lang w:val="en-US" w:eastAsia="zh-CN"/>
              </w:rPr>
              <w:t>4</w:t>
            </w:r>
            <w:r>
              <w:rPr>
                <w:rFonts w:hint="eastAsia" w:ascii="宋体" w:hAnsi="宋体" w:eastAsia="宋体" w:cs="宋体"/>
                <w:bCs/>
                <w:color w:val="auto"/>
                <w:spacing w:val="0"/>
                <w:sz w:val="22"/>
                <w:szCs w:val="22"/>
                <w:highlight w:val="none"/>
              </w:rPr>
              <w:t>年1月1日以来送检第三方具有相关检测资质（CMA、CNAS）的</w:t>
            </w:r>
            <w:r>
              <w:rPr>
                <w:rFonts w:hint="eastAsia" w:ascii="宋体" w:hAnsi="宋体" w:eastAsia="宋体" w:cs="宋体"/>
                <w:bCs/>
                <w:color w:val="auto"/>
                <w:spacing w:val="0"/>
                <w:sz w:val="22"/>
                <w:szCs w:val="22"/>
                <w:highlight w:val="none"/>
                <w:lang w:eastAsia="zh-CN"/>
              </w:rPr>
              <w:t>检测</w:t>
            </w:r>
            <w:r>
              <w:rPr>
                <w:rFonts w:hint="eastAsia" w:ascii="宋体" w:hAnsi="宋体" w:eastAsia="宋体" w:cs="宋体"/>
                <w:bCs/>
                <w:color w:val="auto"/>
                <w:spacing w:val="0"/>
                <w:sz w:val="22"/>
                <w:szCs w:val="22"/>
                <w:highlight w:val="none"/>
              </w:rPr>
              <w:t>机构出具的原材料合格检测报告：</w:t>
            </w:r>
          </w:p>
          <w:p w14:paraId="478B881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pacing w:val="0"/>
                <w:sz w:val="22"/>
                <w:szCs w:val="22"/>
                <w:highlight w:val="none"/>
              </w:rPr>
            </w:pPr>
            <w:r>
              <w:rPr>
                <w:rFonts w:hint="eastAsia" w:ascii="宋体" w:hAnsi="宋体" w:eastAsia="宋体" w:cs="宋体"/>
                <w:bCs/>
                <w:color w:val="auto"/>
                <w:spacing w:val="0"/>
                <w:sz w:val="22"/>
                <w:szCs w:val="22"/>
                <w:highlight w:val="none"/>
                <w:lang w:val="en-US" w:eastAsia="zh-CN"/>
              </w:rPr>
              <w:t>提供采购标的同品类且符合现行有效国家标准或行业标准要求的主要原材料（如浸渍胶膜纸饰面刨花板、封边条、塑粉、钢管等）的检测报告。每提供一个种类合格的原材料检测报告，得1分，最高得3分</w:t>
            </w:r>
            <w:r>
              <w:rPr>
                <w:rFonts w:hint="eastAsia" w:ascii="宋体" w:hAnsi="宋体" w:eastAsia="宋体" w:cs="宋体"/>
                <w:bCs/>
                <w:color w:val="auto"/>
                <w:spacing w:val="0"/>
                <w:sz w:val="22"/>
                <w:szCs w:val="22"/>
                <w:highlight w:val="none"/>
              </w:rPr>
              <w:t>。</w:t>
            </w:r>
          </w:p>
          <w:p w14:paraId="72891BD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Cs/>
                <w:color w:val="auto"/>
                <w:spacing w:val="0"/>
                <w:sz w:val="22"/>
                <w:szCs w:val="22"/>
                <w:highlight w:val="none"/>
              </w:rPr>
            </w:pPr>
            <w:r>
              <w:rPr>
                <w:rFonts w:hint="eastAsia" w:ascii="宋体" w:hAnsi="宋体" w:eastAsia="宋体" w:cs="宋体"/>
                <w:bCs/>
                <w:color w:val="auto"/>
                <w:spacing w:val="0"/>
                <w:sz w:val="22"/>
                <w:szCs w:val="22"/>
                <w:highlight w:val="none"/>
              </w:rPr>
              <w:t>注：提供符合要求的检测报告复印件并加盖公章；上述检测报告的受检单位（或委托单位）应为投标人或其产品生产厂家，否则不得分。</w:t>
            </w:r>
          </w:p>
        </w:tc>
        <w:tc>
          <w:tcPr>
            <w:tcW w:w="421" w:type="pct"/>
            <w:noWrap w:val="0"/>
            <w:vAlign w:val="center"/>
          </w:tcPr>
          <w:p w14:paraId="22D3BA3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0"/>
                <w:sz w:val="22"/>
                <w:szCs w:val="22"/>
                <w:highlight w:val="none"/>
                <w:lang w:val="en-US" w:eastAsia="zh-CN"/>
              </w:rPr>
            </w:pPr>
            <w:r>
              <w:rPr>
                <w:rFonts w:hint="eastAsia" w:ascii="宋体" w:hAnsi="宋体" w:cs="宋体"/>
                <w:bCs/>
                <w:color w:val="auto"/>
                <w:spacing w:val="0"/>
                <w:sz w:val="22"/>
                <w:szCs w:val="22"/>
                <w:highlight w:val="none"/>
                <w:lang w:val="en-US" w:eastAsia="zh-CN"/>
              </w:rPr>
              <w:t>3</w:t>
            </w:r>
          </w:p>
        </w:tc>
      </w:tr>
      <w:tr w14:paraId="79FA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 w:type="pct"/>
            <w:noWrap w:val="0"/>
            <w:vAlign w:val="center"/>
          </w:tcPr>
          <w:p w14:paraId="07F4F1D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0"/>
                <w:kern w:val="2"/>
                <w:sz w:val="22"/>
                <w:szCs w:val="22"/>
                <w:highlight w:val="none"/>
                <w:lang w:val="en-US" w:eastAsia="zh-CN"/>
              </w:rPr>
            </w:pPr>
            <w:r>
              <w:rPr>
                <w:rFonts w:hint="eastAsia" w:ascii="宋体" w:hAnsi="宋体" w:eastAsia="宋体" w:cs="宋体"/>
                <w:bCs/>
                <w:color w:val="auto"/>
                <w:spacing w:val="0"/>
                <w:sz w:val="22"/>
                <w:szCs w:val="22"/>
                <w:highlight w:val="none"/>
                <w:lang w:val="en-US" w:eastAsia="zh-CN"/>
              </w:rPr>
              <w:t>7</w:t>
            </w:r>
          </w:p>
        </w:tc>
        <w:tc>
          <w:tcPr>
            <w:tcW w:w="601" w:type="pct"/>
            <w:shd w:val="clear" w:color="auto" w:fill="auto"/>
            <w:noWrap w:val="0"/>
            <w:vAlign w:val="center"/>
          </w:tcPr>
          <w:p w14:paraId="2B02DF2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项目实施规划方案</w:t>
            </w:r>
          </w:p>
        </w:tc>
        <w:tc>
          <w:tcPr>
            <w:tcW w:w="3671" w:type="pct"/>
            <w:shd w:val="clear" w:color="auto" w:fill="auto"/>
            <w:noWrap w:val="0"/>
            <w:vAlign w:val="center"/>
          </w:tcPr>
          <w:p w14:paraId="677C914E">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项目实施规划方案，提出合理的项目整体实施方案，能按照项目分解节点，并可跟踪实施，未提供不得分。（评分范围：3、2、1、0）</w:t>
            </w:r>
          </w:p>
        </w:tc>
        <w:tc>
          <w:tcPr>
            <w:tcW w:w="421" w:type="pct"/>
            <w:shd w:val="clear" w:color="auto" w:fill="auto"/>
            <w:noWrap w:val="0"/>
            <w:vAlign w:val="center"/>
          </w:tcPr>
          <w:p w14:paraId="29C339A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kern w:val="0"/>
                <w:sz w:val="22"/>
                <w:szCs w:val="22"/>
                <w:highlight w:val="none"/>
                <w:lang w:val="en-US" w:eastAsia="zh-CN" w:bidi="ar-SA"/>
              </w:rPr>
            </w:pPr>
            <w:r>
              <w:rPr>
                <w:rFonts w:hint="eastAsia" w:ascii="宋体" w:hAnsi="宋体" w:eastAsia="宋体" w:cs="宋体"/>
                <w:bCs/>
                <w:color w:val="auto"/>
                <w:spacing w:val="0"/>
                <w:sz w:val="22"/>
                <w:szCs w:val="22"/>
                <w:highlight w:val="none"/>
                <w:lang w:val="en-US" w:eastAsia="zh-CN"/>
              </w:rPr>
              <w:t>3</w:t>
            </w:r>
          </w:p>
        </w:tc>
      </w:tr>
      <w:tr w14:paraId="3898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 w:type="pct"/>
            <w:noWrap w:val="0"/>
            <w:vAlign w:val="center"/>
          </w:tcPr>
          <w:p w14:paraId="1D7A1A3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0"/>
                <w:sz w:val="22"/>
                <w:szCs w:val="22"/>
                <w:highlight w:val="none"/>
                <w:lang w:val="en-US" w:eastAsia="zh-CN"/>
              </w:rPr>
            </w:pPr>
            <w:r>
              <w:rPr>
                <w:rFonts w:hint="eastAsia" w:ascii="宋体" w:hAnsi="宋体" w:eastAsia="宋体" w:cs="宋体"/>
                <w:bCs/>
                <w:color w:val="auto"/>
                <w:spacing w:val="0"/>
                <w:sz w:val="22"/>
                <w:szCs w:val="22"/>
                <w:highlight w:val="none"/>
                <w:lang w:val="en-US" w:eastAsia="zh-CN"/>
              </w:rPr>
              <w:t>8</w:t>
            </w:r>
          </w:p>
        </w:tc>
        <w:tc>
          <w:tcPr>
            <w:tcW w:w="601" w:type="pct"/>
            <w:shd w:val="clear" w:color="auto" w:fill="auto"/>
            <w:noWrap w:val="0"/>
            <w:vAlign w:val="center"/>
          </w:tcPr>
          <w:p w14:paraId="126155E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生产实施方案</w:t>
            </w:r>
          </w:p>
        </w:tc>
        <w:tc>
          <w:tcPr>
            <w:tcW w:w="3671" w:type="pct"/>
            <w:shd w:val="clear" w:color="auto" w:fill="auto"/>
            <w:noWrap w:val="0"/>
            <w:vAlign w:val="center"/>
          </w:tcPr>
          <w:p w14:paraId="2BC73CD7">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生产实施方案，要具备生产能力，在规定的时间内有计划的完成项目需求产品的生产装配，未提供不得分。（评分范围：3、2、1、0）</w:t>
            </w:r>
          </w:p>
        </w:tc>
        <w:tc>
          <w:tcPr>
            <w:tcW w:w="421" w:type="pct"/>
            <w:shd w:val="clear" w:color="auto" w:fill="auto"/>
            <w:noWrap w:val="0"/>
            <w:vAlign w:val="center"/>
          </w:tcPr>
          <w:p w14:paraId="358F91A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kern w:val="0"/>
                <w:sz w:val="22"/>
                <w:szCs w:val="22"/>
                <w:highlight w:val="none"/>
                <w:lang w:val="en-US" w:eastAsia="zh-CN" w:bidi="ar-SA"/>
              </w:rPr>
            </w:pPr>
            <w:r>
              <w:rPr>
                <w:rFonts w:hint="eastAsia" w:ascii="宋体" w:hAnsi="宋体" w:eastAsia="宋体" w:cs="宋体"/>
                <w:bCs/>
                <w:color w:val="auto"/>
                <w:spacing w:val="0"/>
                <w:sz w:val="22"/>
                <w:szCs w:val="22"/>
                <w:highlight w:val="none"/>
                <w:lang w:val="en-US" w:eastAsia="zh-CN"/>
              </w:rPr>
              <w:t>3</w:t>
            </w:r>
          </w:p>
        </w:tc>
      </w:tr>
      <w:tr w14:paraId="685A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304" w:type="pct"/>
            <w:noWrap w:val="0"/>
            <w:vAlign w:val="center"/>
          </w:tcPr>
          <w:p w14:paraId="0C074BE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0"/>
                <w:sz w:val="22"/>
                <w:szCs w:val="22"/>
                <w:highlight w:val="none"/>
                <w:lang w:val="en-US" w:eastAsia="zh-CN"/>
              </w:rPr>
            </w:pPr>
            <w:r>
              <w:rPr>
                <w:rFonts w:hint="eastAsia" w:ascii="宋体" w:hAnsi="宋体" w:eastAsia="宋体" w:cs="宋体"/>
                <w:bCs/>
                <w:color w:val="auto"/>
                <w:spacing w:val="0"/>
                <w:sz w:val="22"/>
                <w:szCs w:val="22"/>
                <w:highlight w:val="none"/>
                <w:lang w:val="en-US" w:eastAsia="zh-CN"/>
              </w:rPr>
              <w:t>9</w:t>
            </w:r>
          </w:p>
        </w:tc>
        <w:tc>
          <w:tcPr>
            <w:tcW w:w="601" w:type="pct"/>
            <w:shd w:val="clear" w:color="auto" w:fill="auto"/>
            <w:noWrap w:val="0"/>
            <w:vAlign w:val="center"/>
          </w:tcPr>
          <w:p w14:paraId="7854F6D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品质管理管控方案</w:t>
            </w:r>
          </w:p>
        </w:tc>
        <w:tc>
          <w:tcPr>
            <w:tcW w:w="3671" w:type="pct"/>
            <w:shd w:val="clear" w:color="auto" w:fill="auto"/>
            <w:noWrap w:val="0"/>
            <w:vAlign w:val="center"/>
          </w:tcPr>
          <w:p w14:paraId="7E5ACC3E">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品质管理管控过程，有独立品管部门和专门品管人员，确保产品生产过程中的质量控制完善，未提供不得分。（评分范围：3、2、1、0）</w:t>
            </w:r>
          </w:p>
        </w:tc>
        <w:tc>
          <w:tcPr>
            <w:tcW w:w="421" w:type="pct"/>
            <w:shd w:val="clear" w:color="auto" w:fill="auto"/>
            <w:noWrap w:val="0"/>
            <w:vAlign w:val="center"/>
          </w:tcPr>
          <w:p w14:paraId="1548850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kern w:val="0"/>
                <w:sz w:val="22"/>
                <w:szCs w:val="22"/>
                <w:highlight w:val="none"/>
                <w:lang w:val="en-US" w:eastAsia="zh-CN" w:bidi="ar-SA"/>
              </w:rPr>
            </w:pPr>
            <w:r>
              <w:rPr>
                <w:rFonts w:hint="eastAsia" w:ascii="宋体" w:hAnsi="宋体" w:eastAsia="宋体" w:cs="宋体"/>
                <w:bCs/>
                <w:color w:val="auto"/>
                <w:spacing w:val="0"/>
                <w:sz w:val="22"/>
                <w:szCs w:val="22"/>
                <w:highlight w:val="none"/>
                <w:lang w:val="en-US" w:eastAsia="zh-CN"/>
              </w:rPr>
              <w:t>3</w:t>
            </w:r>
          </w:p>
        </w:tc>
      </w:tr>
      <w:tr w14:paraId="334B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4" w:type="pct"/>
            <w:noWrap w:val="0"/>
            <w:vAlign w:val="center"/>
          </w:tcPr>
          <w:p w14:paraId="1DEE1F62">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pacing w:val="0"/>
                <w:sz w:val="22"/>
                <w:szCs w:val="22"/>
                <w:highlight w:val="none"/>
                <w:lang w:val="en-US" w:eastAsia="zh-CN"/>
              </w:rPr>
            </w:pPr>
            <w:r>
              <w:rPr>
                <w:rFonts w:hint="eastAsia" w:ascii="宋体" w:hAnsi="宋体" w:eastAsia="宋体" w:cs="宋体"/>
                <w:bCs/>
                <w:color w:val="auto"/>
                <w:spacing w:val="0"/>
                <w:sz w:val="22"/>
                <w:szCs w:val="22"/>
                <w:highlight w:val="none"/>
                <w:lang w:val="en-US" w:eastAsia="zh-CN"/>
              </w:rPr>
              <w:t>10</w:t>
            </w:r>
          </w:p>
        </w:tc>
        <w:tc>
          <w:tcPr>
            <w:tcW w:w="601" w:type="pct"/>
            <w:shd w:val="clear" w:color="auto" w:fill="auto"/>
            <w:noWrap w:val="0"/>
            <w:vAlign w:val="center"/>
          </w:tcPr>
          <w:p w14:paraId="6D6E6F8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安装服务实施方案</w:t>
            </w:r>
          </w:p>
        </w:tc>
        <w:tc>
          <w:tcPr>
            <w:tcW w:w="3671" w:type="pct"/>
            <w:shd w:val="clear" w:color="auto" w:fill="auto"/>
            <w:noWrap w:val="0"/>
            <w:vAlign w:val="center"/>
          </w:tcPr>
          <w:p w14:paraId="6F60B5E4">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安装服务实施方案，安装方案的制定，根据货物交付时间节点，落实送货安装时间和人员安排，确保按期交付使用，未提供不得分。（评分范围：3、2、1、0）</w:t>
            </w:r>
          </w:p>
        </w:tc>
        <w:tc>
          <w:tcPr>
            <w:tcW w:w="421" w:type="pct"/>
            <w:shd w:val="clear" w:color="auto" w:fill="auto"/>
            <w:noWrap w:val="0"/>
            <w:vAlign w:val="center"/>
          </w:tcPr>
          <w:p w14:paraId="7D2A30A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pacing w:val="0"/>
                <w:kern w:val="0"/>
                <w:sz w:val="22"/>
                <w:szCs w:val="22"/>
                <w:highlight w:val="none"/>
                <w:lang w:val="en-US" w:eastAsia="zh-CN" w:bidi="ar-SA"/>
              </w:rPr>
            </w:pPr>
            <w:r>
              <w:rPr>
                <w:rFonts w:hint="eastAsia" w:ascii="宋体" w:hAnsi="宋体" w:eastAsia="宋体" w:cs="宋体"/>
                <w:bCs/>
                <w:color w:val="auto"/>
                <w:spacing w:val="0"/>
                <w:sz w:val="22"/>
                <w:szCs w:val="22"/>
                <w:highlight w:val="none"/>
                <w:lang w:val="en-US" w:eastAsia="zh-CN"/>
              </w:rPr>
              <w:t>3</w:t>
            </w:r>
          </w:p>
        </w:tc>
      </w:tr>
      <w:tr w14:paraId="50511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4" w:type="pct"/>
            <w:noWrap w:val="0"/>
            <w:vAlign w:val="center"/>
          </w:tcPr>
          <w:p w14:paraId="1FEA1F4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pacing w:val="0"/>
                <w:kern w:val="2"/>
                <w:sz w:val="22"/>
                <w:szCs w:val="22"/>
                <w:highlight w:val="none"/>
                <w:lang w:val="en-US" w:eastAsia="zh-CN"/>
              </w:rPr>
            </w:pPr>
            <w:r>
              <w:rPr>
                <w:rFonts w:hint="eastAsia" w:ascii="宋体" w:hAnsi="宋体" w:eastAsia="宋体" w:cs="宋体"/>
                <w:bCs/>
                <w:color w:val="auto"/>
                <w:spacing w:val="0"/>
                <w:sz w:val="22"/>
                <w:szCs w:val="22"/>
                <w:highlight w:val="none"/>
                <w:lang w:val="en-US" w:eastAsia="zh-CN"/>
              </w:rPr>
              <w:t>11</w:t>
            </w:r>
          </w:p>
        </w:tc>
        <w:tc>
          <w:tcPr>
            <w:tcW w:w="601" w:type="pct"/>
            <w:shd w:val="clear" w:color="auto" w:fill="auto"/>
            <w:noWrap w:val="0"/>
            <w:vAlign w:val="center"/>
          </w:tcPr>
          <w:p w14:paraId="2BB8896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售后服务方案</w:t>
            </w:r>
          </w:p>
        </w:tc>
        <w:tc>
          <w:tcPr>
            <w:tcW w:w="3671" w:type="pct"/>
            <w:shd w:val="clear" w:color="auto" w:fill="auto"/>
            <w:noWrap w:val="0"/>
            <w:vAlign w:val="center"/>
          </w:tcPr>
          <w:p w14:paraId="28142FF2">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售后服务应对方案及承诺：提供详细完整的“三包”措施及售后服务措施和方案（包括服务措施、产品质量保证、回访、技术培训等）进行打分（评分范围：5、4、3、2、1、0）</w:t>
            </w:r>
          </w:p>
        </w:tc>
        <w:tc>
          <w:tcPr>
            <w:tcW w:w="421" w:type="pct"/>
            <w:noWrap w:val="0"/>
            <w:vAlign w:val="center"/>
          </w:tcPr>
          <w:p w14:paraId="36A040B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0"/>
                <w:sz w:val="22"/>
                <w:szCs w:val="22"/>
                <w:highlight w:val="none"/>
                <w:lang w:val="en-US" w:eastAsia="zh-CN"/>
              </w:rPr>
            </w:pPr>
            <w:r>
              <w:rPr>
                <w:rFonts w:hint="eastAsia" w:ascii="宋体" w:hAnsi="宋体" w:eastAsia="宋体" w:cs="宋体"/>
                <w:bCs/>
                <w:color w:val="auto"/>
                <w:spacing w:val="0"/>
                <w:sz w:val="22"/>
                <w:szCs w:val="22"/>
                <w:highlight w:val="none"/>
                <w:lang w:val="en-US" w:eastAsia="zh-CN"/>
              </w:rPr>
              <w:t>5</w:t>
            </w:r>
          </w:p>
        </w:tc>
      </w:tr>
      <w:tr w14:paraId="15DF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4" w:type="pct"/>
            <w:noWrap w:val="0"/>
            <w:vAlign w:val="center"/>
          </w:tcPr>
          <w:p w14:paraId="624C6FA7">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pacing w:val="0"/>
                <w:sz w:val="22"/>
                <w:szCs w:val="22"/>
                <w:highlight w:val="none"/>
                <w:lang w:val="en-US" w:eastAsia="zh-CN"/>
              </w:rPr>
            </w:pPr>
            <w:r>
              <w:rPr>
                <w:rFonts w:hint="eastAsia" w:ascii="宋体" w:hAnsi="宋体" w:cs="宋体"/>
                <w:bCs/>
                <w:color w:val="auto"/>
                <w:spacing w:val="0"/>
                <w:sz w:val="22"/>
                <w:szCs w:val="22"/>
                <w:highlight w:val="none"/>
                <w:lang w:val="en-US" w:eastAsia="zh-CN"/>
              </w:rPr>
              <w:t>12</w:t>
            </w:r>
          </w:p>
        </w:tc>
        <w:tc>
          <w:tcPr>
            <w:tcW w:w="601" w:type="pct"/>
            <w:shd w:val="clear" w:color="auto" w:fill="auto"/>
            <w:noWrap w:val="0"/>
            <w:vAlign w:val="center"/>
          </w:tcPr>
          <w:p w14:paraId="649CB565">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bidi="ar-SA"/>
              </w:rPr>
              <w:t>质保期承诺</w:t>
            </w:r>
          </w:p>
        </w:tc>
        <w:tc>
          <w:tcPr>
            <w:tcW w:w="3671" w:type="pct"/>
            <w:shd w:val="clear" w:color="auto" w:fill="auto"/>
            <w:noWrap w:val="0"/>
            <w:vAlign w:val="center"/>
          </w:tcPr>
          <w:p w14:paraId="6C447229">
            <w:pPr>
              <w:pStyle w:val="11"/>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rPr>
              <w:t>提供产品</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年质量保证期（</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年内免费维修</w:t>
            </w:r>
            <w:r>
              <w:rPr>
                <w:rFonts w:hint="default" w:ascii="宋体" w:hAnsi="宋体" w:eastAsia="宋体" w:cs="宋体"/>
                <w:color w:val="auto"/>
                <w:sz w:val="22"/>
                <w:szCs w:val="22"/>
                <w:highlight w:val="none"/>
                <w:lang w:val="en-US"/>
              </w:rPr>
              <w:t>，不能维修</w:t>
            </w:r>
            <w:r>
              <w:rPr>
                <w:rFonts w:hint="eastAsia" w:ascii="宋体" w:hAnsi="宋体" w:eastAsia="宋体" w:cs="宋体"/>
                <w:color w:val="auto"/>
                <w:sz w:val="22"/>
                <w:szCs w:val="22"/>
                <w:highlight w:val="none"/>
              </w:rPr>
              <w:t>免费更换）</w:t>
            </w:r>
            <w:r>
              <w:rPr>
                <w:rFonts w:hint="eastAsia" w:ascii="宋体" w:hAnsi="宋体" w:eastAsia="宋体" w:cs="宋体"/>
                <w:color w:val="auto"/>
                <w:sz w:val="22"/>
                <w:szCs w:val="22"/>
                <w:highlight w:val="none"/>
                <w:lang w:val="en-US" w:eastAsia="zh-CN"/>
              </w:rPr>
              <w:t>的不得分</w:t>
            </w:r>
            <w:r>
              <w:rPr>
                <w:rFonts w:hint="eastAsia" w:ascii="宋体" w:hAnsi="宋体" w:eastAsia="宋体" w:cs="宋体"/>
                <w:color w:val="auto"/>
                <w:sz w:val="22"/>
                <w:szCs w:val="22"/>
                <w:highlight w:val="none"/>
              </w:rPr>
              <w:t>，超过</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年的每一年加</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分，</w:t>
            </w:r>
            <w:r>
              <w:rPr>
                <w:rFonts w:hint="eastAsia" w:ascii="宋体" w:hAnsi="宋体" w:cs="宋体"/>
                <w:color w:val="auto"/>
                <w:sz w:val="22"/>
                <w:szCs w:val="22"/>
                <w:highlight w:val="none"/>
                <w:lang w:val="en-US" w:eastAsia="zh-CN"/>
              </w:rPr>
              <w:t>不足一年不得分，</w:t>
            </w:r>
            <w:r>
              <w:rPr>
                <w:rFonts w:hint="eastAsia" w:ascii="宋体" w:hAnsi="宋体" w:eastAsia="宋体" w:cs="宋体"/>
                <w:color w:val="auto"/>
                <w:sz w:val="22"/>
                <w:szCs w:val="22"/>
                <w:highlight w:val="none"/>
              </w:rPr>
              <w:t>最高得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421" w:type="pct"/>
            <w:noWrap w:val="0"/>
            <w:vAlign w:val="center"/>
          </w:tcPr>
          <w:p w14:paraId="3509F9F6">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pacing w:val="0"/>
                <w:sz w:val="22"/>
                <w:szCs w:val="22"/>
                <w:highlight w:val="none"/>
                <w:lang w:val="en-US" w:eastAsia="zh-CN"/>
              </w:rPr>
            </w:pPr>
            <w:r>
              <w:rPr>
                <w:rFonts w:hint="eastAsia" w:ascii="宋体" w:hAnsi="宋体" w:cs="宋体"/>
                <w:bCs/>
                <w:color w:val="auto"/>
                <w:spacing w:val="0"/>
                <w:sz w:val="22"/>
                <w:szCs w:val="22"/>
                <w:highlight w:val="none"/>
                <w:lang w:val="en-US" w:eastAsia="zh-CN"/>
              </w:rPr>
              <w:t>5</w:t>
            </w:r>
          </w:p>
        </w:tc>
      </w:tr>
      <w:tr w14:paraId="61D5D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304" w:type="pct"/>
            <w:noWrap w:val="0"/>
            <w:vAlign w:val="center"/>
          </w:tcPr>
          <w:p w14:paraId="7D508F5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0"/>
                <w:sz w:val="22"/>
                <w:szCs w:val="22"/>
                <w:highlight w:val="none"/>
                <w:lang w:val="en-US" w:eastAsia="zh-CN"/>
              </w:rPr>
            </w:pPr>
            <w:r>
              <w:rPr>
                <w:rFonts w:hint="eastAsia" w:ascii="宋体" w:hAnsi="宋体" w:eastAsia="宋体" w:cs="宋体"/>
                <w:bCs/>
                <w:color w:val="auto"/>
                <w:spacing w:val="0"/>
                <w:sz w:val="22"/>
                <w:szCs w:val="22"/>
                <w:highlight w:val="none"/>
                <w:lang w:val="en-US" w:eastAsia="zh-CN"/>
              </w:rPr>
              <w:t>1</w:t>
            </w:r>
            <w:r>
              <w:rPr>
                <w:rFonts w:hint="eastAsia" w:ascii="宋体" w:hAnsi="宋体" w:cs="宋体"/>
                <w:bCs/>
                <w:color w:val="auto"/>
                <w:spacing w:val="0"/>
                <w:sz w:val="22"/>
                <w:szCs w:val="22"/>
                <w:highlight w:val="none"/>
                <w:lang w:val="en-US" w:eastAsia="zh-CN"/>
              </w:rPr>
              <w:t>3</w:t>
            </w:r>
          </w:p>
        </w:tc>
        <w:tc>
          <w:tcPr>
            <w:tcW w:w="601" w:type="pct"/>
            <w:noWrap w:val="0"/>
            <w:vAlign w:val="center"/>
          </w:tcPr>
          <w:p w14:paraId="3302792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0"/>
                <w:sz w:val="22"/>
                <w:szCs w:val="22"/>
                <w:highlight w:val="none"/>
                <w:lang w:eastAsia="zh-CN"/>
              </w:rPr>
            </w:pPr>
            <w:r>
              <w:rPr>
                <w:rFonts w:hint="eastAsia" w:ascii="宋体" w:hAnsi="宋体" w:eastAsia="宋体" w:cs="宋体"/>
                <w:bCs/>
                <w:color w:val="auto"/>
                <w:spacing w:val="0"/>
                <w:sz w:val="22"/>
                <w:szCs w:val="22"/>
                <w:highlight w:val="none"/>
              </w:rPr>
              <w:t>投标实物样品</w:t>
            </w:r>
            <w:r>
              <w:rPr>
                <w:rFonts w:hint="eastAsia" w:ascii="宋体" w:hAnsi="宋体" w:cs="宋体"/>
                <w:bCs/>
                <w:color w:val="auto"/>
                <w:spacing w:val="0"/>
                <w:sz w:val="22"/>
                <w:szCs w:val="22"/>
                <w:highlight w:val="none"/>
                <w:lang w:eastAsia="zh-CN"/>
              </w:rPr>
              <w:t>（</w:t>
            </w:r>
            <w:r>
              <w:rPr>
                <w:rFonts w:hint="eastAsia" w:ascii="宋体" w:hAnsi="宋体" w:cs="宋体"/>
                <w:bCs/>
                <w:color w:val="auto"/>
                <w:spacing w:val="0"/>
                <w:sz w:val="22"/>
                <w:szCs w:val="22"/>
                <w:highlight w:val="none"/>
                <w:lang w:val="en-US" w:eastAsia="zh-CN"/>
              </w:rPr>
              <w:t>未提供样品不得分</w:t>
            </w:r>
            <w:r>
              <w:rPr>
                <w:rFonts w:hint="eastAsia" w:ascii="宋体" w:hAnsi="宋体" w:cs="宋体"/>
                <w:bCs/>
                <w:color w:val="auto"/>
                <w:spacing w:val="0"/>
                <w:sz w:val="22"/>
                <w:szCs w:val="22"/>
                <w:highlight w:val="none"/>
                <w:lang w:eastAsia="zh-CN"/>
              </w:rPr>
              <w:t>）</w:t>
            </w:r>
          </w:p>
        </w:tc>
        <w:tc>
          <w:tcPr>
            <w:tcW w:w="3671" w:type="pct"/>
            <w:noWrap w:val="0"/>
            <w:vAlign w:val="center"/>
          </w:tcPr>
          <w:p w14:paraId="2B9817A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0"/>
                <w:kern w:val="2"/>
                <w:sz w:val="22"/>
                <w:szCs w:val="22"/>
                <w:highlight w:val="none"/>
                <w:lang w:val="en-US" w:eastAsia="zh-CN"/>
              </w:rPr>
            </w:pPr>
            <w:r>
              <w:rPr>
                <w:rFonts w:hint="eastAsia" w:eastAsia="宋体"/>
                <w:b/>
                <w:bCs/>
                <w:color w:val="auto"/>
                <w:sz w:val="22"/>
                <w:szCs w:val="22"/>
                <w:highlight w:val="none"/>
                <w:lang w:val="en-US" w:eastAsia="zh-CN"/>
              </w:rPr>
              <w:t>样品</w:t>
            </w:r>
            <w:r>
              <w:rPr>
                <w:rFonts w:hint="eastAsia"/>
                <w:b/>
                <w:bCs/>
                <w:color w:val="auto"/>
                <w:sz w:val="22"/>
                <w:szCs w:val="22"/>
                <w:highlight w:val="none"/>
                <w:lang w:val="en-US" w:eastAsia="zh-CN"/>
              </w:rPr>
              <w:t>1</w:t>
            </w:r>
            <w:r>
              <w:rPr>
                <w:rFonts w:hint="eastAsia" w:eastAsia="宋体"/>
                <w:b/>
                <w:bCs/>
                <w:color w:val="auto"/>
                <w:sz w:val="22"/>
                <w:szCs w:val="22"/>
                <w:highlight w:val="none"/>
                <w:lang w:val="en-US" w:eastAsia="zh-CN"/>
              </w:rPr>
              <w:t>：可移动双人桌</w:t>
            </w:r>
            <w:r>
              <w:rPr>
                <w:rFonts w:hint="eastAsia"/>
                <w:b/>
                <w:bCs/>
                <w:color w:val="auto"/>
                <w:sz w:val="22"/>
                <w:szCs w:val="22"/>
                <w:highlight w:val="none"/>
                <w:lang w:val="en-US" w:eastAsia="zh-CN"/>
              </w:rPr>
              <w:t>（8分）</w:t>
            </w:r>
          </w:p>
          <w:p w14:paraId="70995C57">
            <w:pPr>
              <w:keepNext w:val="0"/>
              <w:keepLines w:val="0"/>
              <w:pageBreakBefore w:val="0"/>
              <w:numPr>
                <w:ilvl w:val="0"/>
                <w:numId w:val="23"/>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2"/>
                <w:szCs w:val="22"/>
                <w:highlight w:val="none"/>
              </w:rPr>
            </w:pPr>
            <w:r>
              <w:rPr>
                <w:rFonts w:hint="eastAsia" w:ascii="宋体" w:hAnsi="宋体" w:eastAsia="宋体" w:cs="宋体"/>
                <w:bCs/>
                <w:color w:val="auto"/>
                <w:spacing w:val="0"/>
                <w:kern w:val="2"/>
                <w:sz w:val="22"/>
                <w:szCs w:val="22"/>
                <w:highlight w:val="none"/>
              </w:rPr>
              <w:t>款式：根据所提供样品的外观式样、美观度、色调搭配合理性及协调性给予评定（0-</w:t>
            </w:r>
            <w:r>
              <w:rPr>
                <w:rFonts w:hint="eastAsia" w:ascii="宋体" w:hAnsi="宋体" w:cs="宋体"/>
                <w:bCs/>
                <w:color w:val="auto"/>
                <w:spacing w:val="0"/>
                <w:kern w:val="2"/>
                <w:sz w:val="22"/>
                <w:szCs w:val="22"/>
                <w:highlight w:val="none"/>
                <w:lang w:val="en-US" w:eastAsia="zh-CN"/>
              </w:rPr>
              <w:t>2</w:t>
            </w:r>
            <w:r>
              <w:rPr>
                <w:rFonts w:hint="eastAsia" w:ascii="宋体" w:hAnsi="宋体" w:eastAsia="宋体" w:cs="宋体"/>
                <w:bCs/>
                <w:color w:val="auto"/>
                <w:spacing w:val="0"/>
                <w:kern w:val="2"/>
                <w:sz w:val="22"/>
                <w:szCs w:val="22"/>
                <w:highlight w:val="none"/>
              </w:rPr>
              <w:t>分）</w:t>
            </w:r>
            <w:r>
              <w:rPr>
                <w:rFonts w:hint="eastAsia" w:ascii="宋体" w:hAnsi="宋体" w:eastAsia="宋体" w:cs="宋体"/>
                <w:color w:val="auto"/>
                <w:spacing w:val="0"/>
                <w:sz w:val="22"/>
                <w:szCs w:val="22"/>
                <w:highlight w:val="none"/>
              </w:rPr>
              <w:t>（评分范围：2、</w:t>
            </w:r>
            <w:r>
              <w:rPr>
                <w:rFonts w:hint="eastAsia" w:ascii="宋体" w:hAnsi="宋体" w:cs="宋体"/>
                <w:color w:val="auto"/>
                <w:spacing w:val="0"/>
                <w:sz w:val="22"/>
                <w:szCs w:val="22"/>
                <w:highlight w:val="none"/>
                <w:lang w:val="en-US" w:eastAsia="zh-CN"/>
              </w:rPr>
              <w:t>1.5、</w:t>
            </w:r>
            <w:r>
              <w:rPr>
                <w:rFonts w:hint="eastAsia" w:ascii="宋体" w:hAnsi="宋体" w:eastAsia="宋体" w:cs="宋体"/>
                <w:color w:val="auto"/>
                <w:spacing w:val="0"/>
                <w:sz w:val="22"/>
                <w:szCs w:val="22"/>
                <w:highlight w:val="none"/>
              </w:rPr>
              <w:t>1</w:t>
            </w:r>
            <w:r>
              <w:rPr>
                <w:rFonts w:hint="eastAsia" w:ascii="宋体" w:hAnsi="宋体" w:cs="宋体"/>
                <w:color w:val="auto"/>
                <w:spacing w:val="0"/>
                <w:sz w:val="22"/>
                <w:szCs w:val="22"/>
                <w:highlight w:val="none"/>
                <w:lang w:val="en-US" w:eastAsia="zh-CN"/>
              </w:rPr>
              <w:t>、0.5、</w:t>
            </w:r>
            <w:r>
              <w:rPr>
                <w:rFonts w:hint="eastAsia" w:ascii="宋体" w:hAnsi="宋体" w:eastAsia="宋体" w:cs="宋体"/>
                <w:color w:val="auto"/>
                <w:spacing w:val="0"/>
                <w:sz w:val="22"/>
                <w:szCs w:val="22"/>
                <w:highlight w:val="none"/>
              </w:rPr>
              <w:t>0）。</w:t>
            </w:r>
          </w:p>
          <w:p w14:paraId="117317E3">
            <w:pPr>
              <w:keepNext w:val="0"/>
              <w:keepLines w:val="0"/>
              <w:pageBreakBefore w:val="0"/>
              <w:numPr>
                <w:ilvl w:val="0"/>
                <w:numId w:val="23"/>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0"/>
                <w:kern w:val="2"/>
                <w:sz w:val="22"/>
                <w:szCs w:val="22"/>
                <w:highlight w:val="none"/>
              </w:rPr>
            </w:pPr>
            <w:r>
              <w:rPr>
                <w:rFonts w:hint="eastAsia" w:ascii="宋体" w:hAnsi="宋体" w:eastAsia="宋体" w:cs="宋体"/>
                <w:bCs/>
                <w:color w:val="auto"/>
                <w:spacing w:val="0"/>
                <w:kern w:val="2"/>
                <w:sz w:val="22"/>
                <w:szCs w:val="22"/>
                <w:highlight w:val="none"/>
                <w:lang w:val="en-US" w:eastAsia="zh-CN"/>
              </w:rPr>
              <w:t>2.</w:t>
            </w:r>
            <w:r>
              <w:rPr>
                <w:rFonts w:hint="eastAsia" w:ascii="宋体" w:hAnsi="宋体" w:eastAsia="宋体" w:cs="宋体"/>
                <w:bCs/>
                <w:color w:val="auto"/>
                <w:spacing w:val="0"/>
                <w:kern w:val="2"/>
                <w:sz w:val="22"/>
                <w:szCs w:val="22"/>
                <w:highlight w:val="none"/>
              </w:rPr>
              <w:t>材质</w:t>
            </w:r>
            <w:r>
              <w:rPr>
                <w:rFonts w:hint="eastAsia" w:ascii="宋体" w:hAnsi="宋体" w:eastAsia="宋体" w:cs="宋体"/>
                <w:bCs/>
                <w:color w:val="auto"/>
                <w:spacing w:val="0"/>
                <w:kern w:val="2"/>
                <w:sz w:val="22"/>
                <w:szCs w:val="22"/>
                <w:highlight w:val="none"/>
                <w:lang w:eastAsia="zh-CN"/>
              </w:rPr>
              <w:t>（</w:t>
            </w:r>
            <w:r>
              <w:rPr>
                <w:rFonts w:hint="eastAsia" w:ascii="宋体" w:hAnsi="宋体" w:eastAsia="宋体" w:cs="宋体"/>
                <w:bCs/>
                <w:color w:val="auto"/>
                <w:spacing w:val="0"/>
                <w:kern w:val="2"/>
                <w:sz w:val="22"/>
                <w:szCs w:val="22"/>
                <w:highlight w:val="none"/>
                <w:lang w:val="en-US" w:eastAsia="zh-CN"/>
              </w:rPr>
              <w:t>含五金件</w:t>
            </w:r>
            <w:r>
              <w:rPr>
                <w:rFonts w:hint="eastAsia" w:ascii="宋体" w:hAnsi="宋体" w:eastAsia="宋体" w:cs="宋体"/>
                <w:bCs/>
                <w:color w:val="auto"/>
                <w:spacing w:val="0"/>
                <w:kern w:val="2"/>
                <w:sz w:val="22"/>
                <w:szCs w:val="22"/>
                <w:highlight w:val="none"/>
                <w:lang w:eastAsia="zh-CN"/>
              </w:rPr>
              <w:t>）</w:t>
            </w:r>
            <w:r>
              <w:rPr>
                <w:rFonts w:hint="eastAsia" w:ascii="宋体" w:hAnsi="宋体" w:eastAsia="宋体" w:cs="宋体"/>
                <w:bCs/>
                <w:color w:val="auto"/>
                <w:spacing w:val="0"/>
                <w:kern w:val="2"/>
                <w:sz w:val="22"/>
                <w:szCs w:val="22"/>
                <w:highlight w:val="none"/>
              </w:rPr>
              <w:t>：根据提供样品与招标文件项目需求的材质及要求给予评定（0-</w:t>
            </w:r>
            <w:r>
              <w:rPr>
                <w:rFonts w:hint="eastAsia" w:ascii="宋体" w:hAnsi="宋体" w:cs="宋体"/>
                <w:bCs/>
                <w:color w:val="auto"/>
                <w:spacing w:val="0"/>
                <w:kern w:val="2"/>
                <w:sz w:val="22"/>
                <w:szCs w:val="22"/>
                <w:highlight w:val="none"/>
                <w:lang w:val="en-US" w:eastAsia="zh-CN"/>
              </w:rPr>
              <w:t>2</w:t>
            </w:r>
            <w:r>
              <w:rPr>
                <w:rFonts w:hint="eastAsia" w:ascii="宋体" w:hAnsi="宋体" w:eastAsia="宋体" w:cs="宋体"/>
                <w:bCs/>
                <w:color w:val="auto"/>
                <w:spacing w:val="0"/>
                <w:kern w:val="2"/>
                <w:sz w:val="22"/>
                <w:szCs w:val="22"/>
                <w:highlight w:val="none"/>
              </w:rPr>
              <w:t>分）</w:t>
            </w:r>
            <w:r>
              <w:rPr>
                <w:rFonts w:hint="eastAsia" w:ascii="宋体" w:hAnsi="宋体" w:eastAsia="宋体" w:cs="宋体"/>
                <w:color w:val="auto"/>
                <w:spacing w:val="0"/>
                <w:sz w:val="22"/>
                <w:szCs w:val="22"/>
                <w:highlight w:val="none"/>
              </w:rPr>
              <w:t>（评分范围：2、</w:t>
            </w:r>
            <w:r>
              <w:rPr>
                <w:rFonts w:hint="eastAsia" w:ascii="宋体" w:hAnsi="宋体" w:cs="宋体"/>
                <w:color w:val="auto"/>
                <w:spacing w:val="0"/>
                <w:sz w:val="22"/>
                <w:szCs w:val="22"/>
                <w:highlight w:val="none"/>
                <w:lang w:val="en-US" w:eastAsia="zh-CN"/>
              </w:rPr>
              <w:t>1.5、</w:t>
            </w:r>
            <w:r>
              <w:rPr>
                <w:rFonts w:hint="eastAsia" w:ascii="宋体" w:hAnsi="宋体" w:eastAsia="宋体" w:cs="宋体"/>
                <w:color w:val="auto"/>
                <w:spacing w:val="0"/>
                <w:sz w:val="22"/>
                <w:szCs w:val="22"/>
                <w:highlight w:val="none"/>
              </w:rPr>
              <w:t>1</w:t>
            </w:r>
            <w:r>
              <w:rPr>
                <w:rFonts w:hint="eastAsia" w:ascii="宋体" w:hAnsi="宋体" w:cs="宋体"/>
                <w:color w:val="auto"/>
                <w:spacing w:val="0"/>
                <w:sz w:val="22"/>
                <w:szCs w:val="22"/>
                <w:highlight w:val="none"/>
                <w:lang w:val="en-US" w:eastAsia="zh-CN"/>
              </w:rPr>
              <w:t>、0.5、</w:t>
            </w:r>
            <w:r>
              <w:rPr>
                <w:rFonts w:hint="eastAsia" w:ascii="宋体" w:hAnsi="宋体" w:eastAsia="宋体" w:cs="宋体"/>
                <w:color w:val="auto"/>
                <w:spacing w:val="0"/>
                <w:sz w:val="22"/>
                <w:szCs w:val="22"/>
                <w:highlight w:val="none"/>
              </w:rPr>
              <w:t>0）。</w:t>
            </w:r>
          </w:p>
          <w:p w14:paraId="5D172E8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0"/>
                <w:kern w:val="2"/>
                <w:sz w:val="22"/>
                <w:szCs w:val="22"/>
                <w:highlight w:val="none"/>
              </w:rPr>
            </w:pPr>
            <w:r>
              <w:rPr>
                <w:rFonts w:hint="eastAsia" w:ascii="宋体" w:hAnsi="宋体" w:eastAsia="宋体" w:cs="宋体"/>
                <w:bCs/>
                <w:color w:val="auto"/>
                <w:spacing w:val="0"/>
                <w:kern w:val="2"/>
                <w:sz w:val="22"/>
                <w:szCs w:val="22"/>
                <w:highlight w:val="none"/>
                <w:lang w:val="en-US" w:eastAsia="zh-CN"/>
              </w:rPr>
              <w:t>3.</w:t>
            </w:r>
            <w:r>
              <w:rPr>
                <w:rFonts w:hint="eastAsia" w:ascii="宋体" w:hAnsi="宋体" w:eastAsia="宋体" w:cs="宋体"/>
                <w:bCs/>
                <w:color w:val="auto"/>
                <w:spacing w:val="0"/>
                <w:kern w:val="2"/>
                <w:sz w:val="22"/>
                <w:szCs w:val="22"/>
                <w:highlight w:val="none"/>
              </w:rPr>
              <w:t>结构、功能、牢固等：根据所提供样品的结构合理性、使用功能性、舒适性及牢固度等给予评定（0-</w:t>
            </w:r>
            <w:r>
              <w:rPr>
                <w:rFonts w:hint="eastAsia" w:ascii="宋体" w:hAnsi="宋体" w:cs="宋体"/>
                <w:bCs/>
                <w:color w:val="auto"/>
                <w:spacing w:val="0"/>
                <w:kern w:val="2"/>
                <w:sz w:val="22"/>
                <w:szCs w:val="22"/>
                <w:highlight w:val="none"/>
                <w:lang w:val="en-US" w:eastAsia="zh-CN"/>
              </w:rPr>
              <w:t>2</w:t>
            </w:r>
            <w:r>
              <w:rPr>
                <w:rFonts w:hint="eastAsia" w:ascii="宋体" w:hAnsi="宋体" w:eastAsia="宋体" w:cs="宋体"/>
                <w:bCs/>
                <w:color w:val="auto"/>
                <w:spacing w:val="0"/>
                <w:kern w:val="2"/>
                <w:sz w:val="22"/>
                <w:szCs w:val="22"/>
                <w:highlight w:val="none"/>
              </w:rPr>
              <w:t>分）</w:t>
            </w:r>
            <w:r>
              <w:rPr>
                <w:rFonts w:hint="eastAsia" w:ascii="宋体" w:hAnsi="宋体" w:eastAsia="宋体" w:cs="宋体"/>
                <w:color w:val="auto"/>
                <w:spacing w:val="0"/>
                <w:sz w:val="22"/>
                <w:szCs w:val="22"/>
                <w:highlight w:val="none"/>
              </w:rPr>
              <w:t>（评分范围：2、</w:t>
            </w:r>
            <w:r>
              <w:rPr>
                <w:rFonts w:hint="eastAsia" w:ascii="宋体" w:hAnsi="宋体" w:cs="宋体"/>
                <w:color w:val="auto"/>
                <w:spacing w:val="0"/>
                <w:sz w:val="22"/>
                <w:szCs w:val="22"/>
                <w:highlight w:val="none"/>
                <w:lang w:val="en-US" w:eastAsia="zh-CN"/>
              </w:rPr>
              <w:t>1.5、</w:t>
            </w:r>
            <w:r>
              <w:rPr>
                <w:rFonts w:hint="eastAsia" w:ascii="宋体" w:hAnsi="宋体" w:eastAsia="宋体" w:cs="宋体"/>
                <w:color w:val="auto"/>
                <w:spacing w:val="0"/>
                <w:sz w:val="22"/>
                <w:szCs w:val="22"/>
                <w:highlight w:val="none"/>
              </w:rPr>
              <w:t>1</w:t>
            </w:r>
            <w:r>
              <w:rPr>
                <w:rFonts w:hint="eastAsia" w:ascii="宋体" w:hAnsi="宋体" w:cs="宋体"/>
                <w:color w:val="auto"/>
                <w:spacing w:val="0"/>
                <w:sz w:val="22"/>
                <w:szCs w:val="22"/>
                <w:highlight w:val="none"/>
                <w:lang w:val="en-US" w:eastAsia="zh-CN"/>
              </w:rPr>
              <w:t>、0.5、</w:t>
            </w:r>
            <w:r>
              <w:rPr>
                <w:rFonts w:hint="eastAsia" w:ascii="宋体" w:hAnsi="宋体" w:eastAsia="宋体" w:cs="宋体"/>
                <w:color w:val="auto"/>
                <w:spacing w:val="0"/>
                <w:sz w:val="22"/>
                <w:szCs w:val="22"/>
                <w:highlight w:val="none"/>
              </w:rPr>
              <w:t>0）</w:t>
            </w:r>
            <w:r>
              <w:rPr>
                <w:rFonts w:hint="eastAsia" w:ascii="宋体" w:hAnsi="宋体" w:eastAsia="宋体" w:cs="宋体"/>
                <w:bCs/>
                <w:color w:val="auto"/>
                <w:spacing w:val="0"/>
                <w:kern w:val="2"/>
                <w:sz w:val="22"/>
                <w:szCs w:val="22"/>
                <w:highlight w:val="none"/>
              </w:rPr>
              <w:t>。</w:t>
            </w:r>
          </w:p>
          <w:p w14:paraId="27E6A30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0"/>
                <w:kern w:val="2"/>
                <w:sz w:val="22"/>
                <w:szCs w:val="22"/>
                <w:highlight w:val="none"/>
              </w:rPr>
            </w:pPr>
            <w:r>
              <w:rPr>
                <w:rFonts w:hint="eastAsia" w:ascii="宋体" w:hAnsi="宋体" w:eastAsia="宋体" w:cs="宋体"/>
                <w:bCs/>
                <w:color w:val="auto"/>
                <w:spacing w:val="0"/>
                <w:kern w:val="2"/>
                <w:sz w:val="22"/>
                <w:szCs w:val="22"/>
                <w:highlight w:val="none"/>
                <w:lang w:val="en-US" w:eastAsia="zh-CN"/>
              </w:rPr>
              <w:t>4.</w:t>
            </w:r>
            <w:r>
              <w:rPr>
                <w:rFonts w:hint="eastAsia" w:ascii="宋体" w:hAnsi="宋体" w:eastAsia="宋体" w:cs="宋体"/>
                <w:bCs/>
                <w:color w:val="auto"/>
                <w:spacing w:val="0"/>
                <w:kern w:val="2"/>
                <w:sz w:val="22"/>
                <w:szCs w:val="22"/>
                <w:highlight w:val="none"/>
              </w:rPr>
              <w:t>制作工艺：根据样品制作工艺、组合结构、油漆（喷涂）制作工艺、样品安装精密度、节点细部处理等给予评定（0-</w:t>
            </w:r>
            <w:r>
              <w:rPr>
                <w:rFonts w:hint="eastAsia" w:ascii="宋体" w:hAnsi="宋体" w:cs="宋体"/>
                <w:bCs/>
                <w:color w:val="auto"/>
                <w:spacing w:val="0"/>
                <w:kern w:val="2"/>
                <w:sz w:val="22"/>
                <w:szCs w:val="22"/>
                <w:highlight w:val="none"/>
                <w:lang w:val="en-US" w:eastAsia="zh-CN"/>
              </w:rPr>
              <w:t>2</w:t>
            </w:r>
            <w:r>
              <w:rPr>
                <w:rFonts w:hint="eastAsia" w:ascii="宋体" w:hAnsi="宋体" w:eastAsia="宋体" w:cs="宋体"/>
                <w:bCs/>
                <w:color w:val="auto"/>
                <w:spacing w:val="0"/>
                <w:kern w:val="2"/>
                <w:sz w:val="22"/>
                <w:szCs w:val="22"/>
                <w:highlight w:val="none"/>
              </w:rPr>
              <w:t>分）</w:t>
            </w:r>
            <w:r>
              <w:rPr>
                <w:rFonts w:hint="eastAsia" w:ascii="宋体" w:hAnsi="宋体" w:eastAsia="宋体" w:cs="宋体"/>
                <w:color w:val="auto"/>
                <w:spacing w:val="0"/>
                <w:sz w:val="22"/>
                <w:szCs w:val="22"/>
                <w:highlight w:val="none"/>
              </w:rPr>
              <w:t>（评分范围：2、</w:t>
            </w:r>
            <w:r>
              <w:rPr>
                <w:rFonts w:hint="eastAsia" w:ascii="宋体" w:hAnsi="宋体" w:cs="宋体"/>
                <w:color w:val="auto"/>
                <w:spacing w:val="0"/>
                <w:sz w:val="22"/>
                <w:szCs w:val="22"/>
                <w:highlight w:val="none"/>
                <w:lang w:val="en-US" w:eastAsia="zh-CN"/>
              </w:rPr>
              <w:t>1.5、</w:t>
            </w:r>
            <w:r>
              <w:rPr>
                <w:rFonts w:hint="eastAsia" w:ascii="宋体" w:hAnsi="宋体" w:eastAsia="宋体" w:cs="宋体"/>
                <w:color w:val="auto"/>
                <w:spacing w:val="0"/>
                <w:sz w:val="22"/>
                <w:szCs w:val="22"/>
                <w:highlight w:val="none"/>
              </w:rPr>
              <w:t>1</w:t>
            </w:r>
            <w:r>
              <w:rPr>
                <w:rFonts w:hint="eastAsia" w:ascii="宋体" w:hAnsi="宋体" w:cs="宋体"/>
                <w:color w:val="auto"/>
                <w:spacing w:val="0"/>
                <w:sz w:val="22"/>
                <w:szCs w:val="22"/>
                <w:highlight w:val="none"/>
                <w:lang w:val="en-US" w:eastAsia="zh-CN"/>
              </w:rPr>
              <w:t>、0.5、</w:t>
            </w:r>
            <w:r>
              <w:rPr>
                <w:rFonts w:hint="eastAsia" w:ascii="宋体" w:hAnsi="宋体" w:eastAsia="宋体" w:cs="宋体"/>
                <w:color w:val="auto"/>
                <w:spacing w:val="0"/>
                <w:sz w:val="22"/>
                <w:szCs w:val="22"/>
                <w:highlight w:val="none"/>
              </w:rPr>
              <w:t>0）。</w:t>
            </w:r>
          </w:p>
          <w:p w14:paraId="180222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0"/>
                <w:kern w:val="2"/>
                <w:sz w:val="22"/>
                <w:szCs w:val="22"/>
                <w:highlight w:val="none"/>
                <w:lang w:val="en-US" w:eastAsia="zh-CN"/>
              </w:rPr>
            </w:pPr>
            <w:r>
              <w:rPr>
                <w:rFonts w:hint="eastAsia" w:eastAsia="宋体"/>
                <w:b/>
                <w:bCs/>
                <w:color w:val="auto"/>
                <w:sz w:val="22"/>
                <w:szCs w:val="22"/>
                <w:highlight w:val="none"/>
                <w:lang w:val="en-US" w:eastAsia="zh-CN"/>
              </w:rPr>
              <w:t>样品</w:t>
            </w:r>
            <w:r>
              <w:rPr>
                <w:rFonts w:hint="eastAsia"/>
                <w:b/>
                <w:bCs/>
                <w:color w:val="auto"/>
                <w:sz w:val="22"/>
                <w:szCs w:val="22"/>
                <w:highlight w:val="none"/>
                <w:lang w:val="en-US" w:eastAsia="zh-CN"/>
              </w:rPr>
              <w:t>2</w:t>
            </w:r>
            <w:r>
              <w:rPr>
                <w:rFonts w:hint="eastAsia" w:eastAsia="宋体"/>
                <w:b/>
                <w:bCs/>
                <w:color w:val="auto"/>
                <w:sz w:val="22"/>
                <w:szCs w:val="22"/>
                <w:highlight w:val="none"/>
                <w:lang w:val="en-US" w:eastAsia="zh-CN"/>
              </w:rPr>
              <w:t>：学生座椅</w:t>
            </w:r>
            <w:r>
              <w:rPr>
                <w:rFonts w:hint="eastAsia"/>
                <w:b/>
                <w:bCs/>
                <w:color w:val="auto"/>
                <w:sz w:val="22"/>
                <w:szCs w:val="22"/>
                <w:highlight w:val="none"/>
                <w:lang w:val="en-US" w:eastAsia="zh-CN"/>
              </w:rPr>
              <w:t>（4分）</w:t>
            </w:r>
          </w:p>
          <w:p w14:paraId="7A53446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0"/>
                <w:kern w:val="2"/>
                <w:sz w:val="22"/>
                <w:szCs w:val="22"/>
                <w:highlight w:val="none"/>
              </w:rPr>
            </w:pPr>
            <w:r>
              <w:rPr>
                <w:rFonts w:hint="eastAsia" w:ascii="宋体" w:hAnsi="宋体" w:eastAsia="宋体" w:cs="宋体"/>
                <w:bCs/>
                <w:color w:val="auto"/>
                <w:spacing w:val="0"/>
                <w:kern w:val="2"/>
                <w:sz w:val="22"/>
                <w:szCs w:val="22"/>
                <w:highlight w:val="none"/>
                <w:lang w:val="en-US" w:eastAsia="zh-CN"/>
              </w:rPr>
              <w:t>1.</w:t>
            </w:r>
            <w:r>
              <w:rPr>
                <w:rFonts w:hint="eastAsia" w:ascii="宋体" w:hAnsi="宋体" w:eastAsia="宋体" w:cs="宋体"/>
                <w:bCs/>
                <w:color w:val="auto"/>
                <w:spacing w:val="0"/>
                <w:kern w:val="2"/>
                <w:sz w:val="22"/>
                <w:szCs w:val="22"/>
                <w:highlight w:val="none"/>
              </w:rPr>
              <w:t>款式：根据所提供样品的外观式样、美观度、色调搭配合理性及协调性给予评定（0-</w:t>
            </w:r>
            <w:r>
              <w:rPr>
                <w:rFonts w:hint="eastAsia" w:ascii="宋体" w:hAnsi="宋体" w:cs="宋体"/>
                <w:bCs/>
                <w:color w:val="auto"/>
                <w:spacing w:val="0"/>
                <w:kern w:val="2"/>
                <w:sz w:val="22"/>
                <w:szCs w:val="22"/>
                <w:highlight w:val="none"/>
                <w:lang w:val="en-US" w:eastAsia="zh-CN"/>
              </w:rPr>
              <w:t>1</w:t>
            </w:r>
            <w:r>
              <w:rPr>
                <w:rFonts w:hint="eastAsia" w:ascii="宋体" w:hAnsi="宋体" w:eastAsia="宋体" w:cs="宋体"/>
                <w:bCs/>
                <w:color w:val="auto"/>
                <w:spacing w:val="0"/>
                <w:kern w:val="2"/>
                <w:sz w:val="22"/>
                <w:szCs w:val="22"/>
                <w:highlight w:val="none"/>
              </w:rPr>
              <w:t>分）。</w:t>
            </w:r>
            <w:r>
              <w:rPr>
                <w:rFonts w:hint="eastAsia" w:ascii="宋体" w:hAnsi="宋体" w:eastAsia="宋体" w:cs="宋体"/>
                <w:color w:val="auto"/>
                <w:spacing w:val="0"/>
                <w:sz w:val="22"/>
                <w:szCs w:val="22"/>
                <w:highlight w:val="none"/>
              </w:rPr>
              <w:t>（评分范围：1、</w:t>
            </w:r>
            <w:r>
              <w:rPr>
                <w:rFonts w:hint="eastAsia" w:ascii="宋体" w:hAnsi="宋体" w:cs="宋体"/>
                <w:color w:val="auto"/>
                <w:spacing w:val="0"/>
                <w:sz w:val="22"/>
                <w:szCs w:val="22"/>
                <w:highlight w:val="none"/>
                <w:lang w:val="en-US" w:eastAsia="zh-CN"/>
              </w:rPr>
              <w:t>0.5、</w:t>
            </w:r>
            <w:r>
              <w:rPr>
                <w:rFonts w:hint="eastAsia" w:ascii="宋体" w:hAnsi="宋体" w:eastAsia="宋体" w:cs="宋体"/>
                <w:color w:val="auto"/>
                <w:spacing w:val="0"/>
                <w:sz w:val="22"/>
                <w:szCs w:val="22"/>
                <w:highlight w:val="none"/>
              </w:rPr>
              <w:t>0）。</w:t>
            </w:r>
          </w:p>
          <w:p w14:paraId="0DED3D2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0"/>
                <w:kern w:val="2"/>
                <w:sz w:val="22"/>
                <w:szCs w:val="22"/>
                <w:highlight w:val="none"/>
                <w:lang w:val="en-US" w:eastAsia="zh-CN"/>
              </w:rPr>
            </w:pPr>
            <w:r>
              <w:rPr>
                <w:rFonts w:hint="eastAsia" w:ascii="宋体" w:hAnsi="宋体" w:eastAsia="宋体" w:cs="宋体"/>
                <w:bCs/>
                <w:color w:val="auto"/>
                <w:spacing w:val="0"/>
                <w:kern w:val="2"/>
                <w:sz w:val="22"/>
                <w:szCs w:val="22"/>
                <w:highlight w:val="none"/>
                <w:lang w:val="en-US" w:eastAsia="zh-CN"/>
              </w:rPr>
              <w:t>2.材质（含五金件）：根据提供样品与招标文件项目需求的材质及要求给予评定（0-1分）（评分范围：1、0.5、0）。</w:t>
            </w:r>
          </w:p>
          <w:p w14:paraId="0B5D3C21">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pacing w:val="0"/>
                <w:kern w:val="2"/>
                <w:sz w:val="22"/>
                <w:szCs w:val="22"/>
                <w:highlight w:val="none"/>
                <w:lang w:val="en-US" w:eastAsia="zh-CN"/>
              </w:rPr>
            </w:pPr>
            <w:r>
              <w:rPr>
                <w:rFonts w:hint="eastAsia" w:ascii="宋体" w:hAnsi="宋体" w:eastAsia="宋体" w:cs="宋体"/>
                <w:bCs/>
                <w:color w:val="auto"/>
                <w:spacing w:val="0"/>
                <w:kern w:val="2"/>
                <w:sz w:val="22"/>
                <w:szCs w:val="22"/>
                <w:highlight w:val="none"/>
                <w:lang w:val="en-US" w:eastAsia="zh-CN"/>
              </w:rPr>
              <w:t>3.结构、功能、牢固等：根据所提供样品的结构合理性、使用功能性、舒适性及牢固度等给予评定（0-1分）（评分范围：1、0.5、0）。</w:t>
            </w:r>
          </w:p>
          <w:p w14:paraId="0057E0CB">
            <w:pPr>
              <w:keepNext w:val="0"/>
              <w:keepLines w:val="0"/>
              <w:pageBreakBefore w:val="0"/>
              <w:kinsoku/>
              <w:wordWrap/>
              <w:overflowPunct/>
              <w:topLinePunct w:val="0"/>
              <w:autoSpaceDE/>
              <w:autoSpaceDN/>
              <w:bidi w:val="0"/>
              <w:adjustRightInd/>
              <w:snapToGrid/>
              <w:spacing w:line="360" w:lineRule="auto"/>
              <w:textAlignment w:val="auto"/>
              <w:rPr>
                <w:rFonts w:hint="default" w:eastAsia="宋体"/>
                <w:color w:val="auto"/>
                <w:highlight w:val="none"/>
                <w:lang w:val="en-US" w:eastAsia="zh-CN"/>
              </w:rPr>
            </w:pPr>
            <w:r>
              <w:rPr>
                <w:rFonts w:hint="eastAsia" w:ascii="宋体" w:hAnsi="宋体" w:eastAsia="宋体" w:cs="宋体"/>
                <w:bCs/>
                <w:color w:val="auto"/>
                <w:spacing w:val="0"/>
                <w:kern w:val="2"/>
                <w:sz w:val="22"/>
                <w:szCs w:val="22"/>
                <w:highlight w:val="none"/>
                <w:lang w:val="en-US" w:eastAsia="zh-CN"/>
              </w:rPr>
              <w:t>4.制作工艺：根据样品制作工艺、组合结构、油漆（喷涂）制作工艺、样品安装精密度、节点细部处理等给予评定（0-1分）（评分范围：1、0.5、0）。</w:t>
            </w:r>
          </w:p>
        </w:tc>
        <w:tc>
          <w:tcPr>
            <w:tcW w:w="421" w:type="pct"/>
            <w:noWrap w:val="0"/>
            <w:vAlign w:val="center"/>
          </w:tcPr>
          <w:p w14:paraId="4309232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pacing w:val="0"/>
                <w:sz w:val="22"/>
                <w:szCs w:val="22"/>
                <w:highlight w:val="none"/>
                <w:lang w:val="en-US" w:eastAsia="zh-CN"/>
              </w:rPr>
            </w:pPr>
            <w:r>
              <w:rPr>
                <w:rFonts w:hint="eastAsia" w:ascii="宋体" w:hAnsi="宋体" w:eastAsia="宋体" w:cs="宋体"/>
                <w:bCs/>
                <w:color w:val="auto"/>
                <w:spacing w:val="0"/>
                <w:sz w:val="22"/>
                <w:szCs w:val="22"/>
                <w:highlight w:val="none"/>
                <w:lang w:val="en-US" w:eastAsia="zh-CN"/>
              </w:rPr>
              <w:t>1</w:t>
            </w:r>
            <w:r>
              <w:rPr>
                <w:rFonts w:hint="eastAsia" w:ascii="宋体" w:hAnsi="宋体" w:cs="宋体"/>
                <w:bCs/>
                <w:color w:val="auto"/>
                <w:spacing w:val="0"/>
                <w:sz w:val="22"/>
                <w:szCs w:val="22"/>
                <w:highlight w:val="none"/>
                <w:lang w:val="en-US" w:eastAsia="zh-CN"/>
              </w:rPr>
              <w:t>2</w:t>
            </w:r>
          </w:p>
        </w:tc>
      </w:tr>
    </w:tbl>
    <w:p w14:paraId="1743A41F">
      <w:pPr>
        <w:spacing w:line="460" w:lineRule="exact"/>
        <w:ind w:firstLine="330" w:firstLineChars="150"/>
        <w:rPr>
          <w:rFonts w:hint="eastAsia" w:ascii="新宋体" w:hAnsi="新宋体" w:eastAsia="新宋体" w:cs="新宋体"/>
          <w:color w:val="auto"/>
          <w:sz w:val="22"/>
          <w:szCs w:val="22"/>
          <w:highlight w:val="none"/>
        </w:rPr>
      </w:pPr>
    </w:p>
    <w:p w14:paraId="74DB5FC5">
      <w:pPr>
        <w:spacing w:line="460" w:lineRule="exact"/>
        <w:ind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其他说明：</w:t>
      </w:r>
      <w:bookmarkEnd w:id="144"/>
    </w:p>
    <w:p w14:paraId="1EF60061">
      <w:pPr>
        <w:pStyle w:val="2"/>
        <w:spacing w:after="0" w:line="460" w:lineRule="exact"/>
        <w:ind w:firstLine="440" w:firstLineChars="200"/>
        <w:rPr>
          <w:rFonts w:hint="eastAsia" w:ascii="新宋体" w:hAnsi="新宋体" w:eastAsia="新宋体" w:cs="宋体"/>
          <w:bCs/>
          <w:color w:val="auto"/>
          <w:sz w:val="22"/>
          <w:szCs w:val="22"/>
          <w:highlight w:val="none"/>
        </w:rPr>
      </w:pPr>
      <w:r>
        <w:rPr>
          <w:rFonts w:hint="eastAsia" w:ascii="新宋体" w:hAnsi="新宋体" w:eastAsia="新宋体" w:cs="宋体"/>
          <w:bCs/>
          <w:color w:val="auto"/>
          <w:sz w:val="22"/>
          <w:szCs w:val="22"/>
          <w:highlight w:val="none"/>
        </w:rPr>
        <w:t>（1）以上所需的各种证书、证件、证明文件、执照若系复印件，须在复印件上加盖投标供应商有效的公章。证书、证件、证明文件等原件，属备查项目，并非强制性要求。评标主要依据投标供应商投标文件中加盖有效公章的证书/证明文件复印件，如评标委员会对复印件有异议的，可在投标供应商提供原件资料里核查，若投标供应商未提供原件资料佐证的，则承担相应评分项不得分的风险。</w:t>
      </w:r>
    </w:p>
    <w:p w14:paraId="5E794DCC">
      <w:pPr>
        <w:pStyle w:val="2"/>
        <w:spacing w:after="0" w:line="460" w:lineRule="exact"/>
        <w:ind w:firstLine="440" w:firstLineChars="200"/>
        <w:rPr>
          <w:rFonts w:hint="eastAsia" w:ascii="新宋体" w:hAnsi="新宋体" w:eastAsia="新宋体" w:cs="宋体"/>
          <w:bCs/>
          <w:color w:val="auto"/>
          <w:sz w:val="22"/>
          <w:szCs w:val="22"/>
          <w:highlight w:val="none"/>
        </w:rPr>
      </w:pPr>
      <w:r>
        <w:rPr>
          <w:rFonts w:hint="eastAsia" w:ascii="新宋体" w:hAnsi="新宋体" w:eastAsia="新宋体" w:cs="宋体"/>
          <w:bCs/>
          <w:color w:val="auto"/>
          <w:sz w:val="22"/>
          <w:szCs w:val="22"/>
          <w:highlight w:val="none"/>
        </w:rPr>
        <w:t>（2）评标委员会、采购机构在项目评审直至合同签订、履约期间，有权要求投标供应商出具投标文件中的合同文本原件，予以确认其的真实性和有效性，如出现与事实不符等情况，将根据有关规定以</w:t>
      </w:r>
      <w:r>
        <w:rPr>
          <w:rFonts w:ascii="新宋体" w:hAnsi="新宋体" w:eastAsia="新宋体" w:cs="Cambria"/>
          <w:bCs/>
          <w:color w:val="auto"/>
          <w:sz w:val="22"/>
          <w:szCs w:val="22"/>
          <w:highlight w:val="none"/>
        </w:rPr>
        <w:t>“</w:t>
      </w:r>
      <w:r>
        <w:rPr>
          <w:rFonts w:hint="eastAsia" w:ascii="新宋体" w:hAnsi="新宋体" w:eastAsia="新宋体" w:cs="宋体"/>
          <w:bCs/>
          <w:color w:val="auto"/>
          <w:sz w:val="22"/>
          <w:szCs w:val="22"/>
          <w:highlight w:val="none"/>
        </w:rPr>
        <w:t>提供虚假材料谋取中标</w:t>
      </w:r>
      <w:r>
        <w:rPr>
          <w:rFonts w:ascii="新宋体" w:hAnsi="新宋体" w:eastAsia="新宋体" w:cs="Cambria"/>
          <w:bCs/>
          <w:color w:val="auto"/>
          <w:sz w:val="22"/>
          <w:szCs w:val="22"/>
          <w:highlight w:val="none"/>
        </w:rPr>
        <w:t>”</w:t>
      </w:r>
      <w:r>
        <w:rPr>
          <w:rFonts w:hint="eastAsia" w:ascii="新宋体" w:hAnsi="新宋体" w:eastAsia="新宋体" w:cs="宋体"/>
          <w:bCs/>
          <w:color w:val="auto"/>
          <w:sz w:val="22"/>
          <w:szCs w:val="22"/>
          <w:highlight w:val="none"/>
        </w:rPr>
        <w:t>予以处理。</w:t>
      </w:r>
    </w:p>
    <w:p w14:paraId="6EAA6CAA">
      <w:pPr>
        <w:pStyle w:val="2"/>
        <w:spacing w:after="0" w:line="460" w:lineRule="exact"/>
        <w:ind w:firstLine="440" w:firstLineChars="200"/>
        <w:rPr>
          <w:rFonts w:hint="eastAsia" w:ascii="新宋体" w:hAnsi="新宋体" w:eastAsia="新宋体" w:cs="宋体"/>
          <w:bCs/>
          <w:color w:val="auto"/>
          <w:sz w:val="22"/>
          <w:szCs w:val="22"/>
          <w:highlight w:val="none"/>
        </w:rPr>
      </w:pPr>
      <w:r>
        <w:rPr>
          <w:rFonts w:hint="eastAsia" w:ascii="新宋体" w:hAnsi="新宋体" w:eastAsia="新宋体" w:cs="宋体"/>
          <w:bCs/>
          <w:color w:val="auto"/>
          <w:sz w:val="22"/>
          <w:szCs w:val="22"/>
          <w:highlight w:val="none"/>
        </w:rPr>
        <w:t>（3）技术评分标准中，A档一般以该分项方案/措施的表述详尽、科学、操作性强等为划分标准；B档一般以该分项方案/措施的表述细致度、可操作性、科学性等方面满足采购需求基本要求为划分标准；C档一般以该分项方案/措施的表述细致度、可操作性、科学性等方面较差为划分标准。</w:t>
      </w:r>
    </w:p>
    <w:p w14:paraId="1B17A2A2">
      <w:pPr>
        <w:pStyle w:val="2"/>
        <w:spacing w:after="0" w:line="460" w:lineRule="exact"/>
        <w:ind w:firstLine="440" w:firstLineChars="200"/>
        <w:rPr>
          <w:rFonts w:hint="eastAsia" w:ascii="新宋体" w:hAnsi="新宋体" w:eastAsia="新宋体" w:cs="宋体"/>
          <w:bCs/>
          <w:color w:val="auto"/>
          <w:sz w:val="22"/>
          <w:szCs w:val="22"/>
          <w:highlight w:val="none"/>
        </w:rPr>
      </w:pPr>
      <w:r>
        <w:rPr>
          <w:rFonts w:hint="eastAsia" w:ascii="新宋体" w:hAnsi="新宋体" w:eastAsia="新宋体" w:cs="宋体"/>
          <w:bCs/>
          <w:color w:val="auto"/>
          <w:sz w:val="22"/>
          <w:szCs w:val="22"/>
          <w:highlight w:val="none"/>
        </w:rPr>
        <w:t>（4）以上评分保留小数1位（四舍五入）。</w:t>
      </w:r>
    </w:p>
    <w:p w14:paraId="74C6D17A">
      <w:pPr>
        <w:numPr>
          <w:ilvl w:val="0"/>
          <w:numId w:val="22"/>
        </w:numPr>
        <w:spacing w:line="460" w:lineRule="exact"/>
        <w:ind w:firstLine="0"/>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ab/>
      </w:r>
      <w:r>
        <w:rPr>
          <w:rFonts w:hint="eastAsia" w:ascii="新宋体" w:hAnsi="新宋体" w:eastAsia="新宋体" w:cs="新宋体"/>
          <w:b/>
          <w:bCs/>
          <w:color w:val="auto"/>
          <w:sz w:val="22"/>
          <w:szCs w:val="22"/>
          <w:highlight w:val="none"/>
        </w:rPr>
        <w:t>商务</w:t>
      </w:r>
      <w:r>
        <w:rPr>
          <w:rFonts w:hint="eastAsia" w:ascii="新宋体" w:hAnsi="新宋体" w:eastAsia="新宋体" w:cs="新宋体"/>
          <w:b/>
          <w:bCs/>
          <w:color w:val="auto"/>
          <w:sz w:val="22"/>
          <w:szCs w:val="22"/>
          <w:highlight w:val="none"/>
          <w:lang w:val="en-US" w:eastAsia="zh-CN"/>
        </w:rPr>
        <w:t>报价</w:t>
      </w:r>
      <w:r>
        <w:rPr>
          <w:rFonts w:hint="eastAsia" w:ascii="新宋体" w:hAnsi="新宋体" w:eastAsia="新宋体" w:cs="新宋体"/>
          <w:b/>
          <w:bCs/>
          <w:color w:val="auto"/>
          <w:sz w:val="22"/>
          <w:szCs w:val="22"/>
          <w:highlight w:val="none"/>
        </w:rPr>
        <w:t>评分（</w:t>
      </w: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0分）：</w:t>
      </w:r>
    </w:p>
    <w:p w14:paraId="0A5F311B">
      <w:pPr>
        <w:spacing w:line="460" w:lineRule="exact"/>
        <w:ind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满足采购文件要求且投标报价的最低价作为评标基准价；</w:t>
      </w:r>
    </w:p>
    <w:p w14:paraId="00EB8EFC">
      <w:pPr>
        <w:numPr>
          <w:ilvl w:val="0"/>
          <w:numId w:val="24"/>
        </w:numPr>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有效投标供应商的投标报价等于评标基准价时，其最终报价评分值为满分</w:t>
      </w:r>
      <w:r>
        <w:rPr>
          <w:rFonts w:hint="eastAsia" w:ascii="新宋体" w:hAnsi="新宋体" w:eastAsia="新宋体" w:cs="新宋体"/>
          <w:bCs/>
          <w:color w:val="auto"/>
          <w:kern w:val="0"/>
          <w:sz w:val="22"/>
          <w:szCs w:val="22"/>
          <w:highlight w:val="none"/>
          <w:lang w:val="en-US" w:eastAsia="zh-CN"/>
        </w:rPr>
        <w:t>3</w:t>
      </w:r>
      <w:r>
        <w:rPr>
          <w:rFonts w:hint="eastAsia" w:ascii="新宋体" w:hAnsi="新宋体" w:eastAsia="新宋体" w:cs="新宋体"/>
          <w:bCs/>
          <w:color w:val="auto"/>
          <w:kern w:val="0"/>
          <w:sz w:val="22"/>
          <w:szCs w:val="22"/>
          <w:highlight w:val="none"/>
        </w:rPr>
        <w:t>0分；</w:t>
      </w:r>
    </w:p>
    <w:p w14:paraId="67D91989">
      <w:pPr>
        <w:numPr>
          <w:ilvl w:val="0"/>
          <w:numId w:val="24"/>
        </w:numPr>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其他投标供应商的价格分按以下公式计算：</w:t>
      </w:r>
    </w:p>
    <w:p w14:paraId="0EB57B42">
      <w:pPr>
        <w:spacing w:line="460" w:lineRule="exact"/>
        <w:ind w:left="400" w:firstLine="440" w:firstLineChars="200"/>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商务分得分=（评审基准价/投标供应商投标报价）×价格权值×100（四舍五入后保留小数2位，价格权值为</w:t>
      </w:r>
      <w:r>
        <w:rPr>
          <w:rFonts w:hint="eastAsia" w:ascii="新宋体" w:hAnsi="新宋体" w:eastAsia="新宋体" w:cs="新宋体"/>
          <w:bCs/>
          <w:color w:val="auto"/>
          <w:kern w:val="0"/>
          <w:sz w:val="22"/>
          <w:szCs w:val="22"/>
          <w:highlight w:val="none"/>
          <w:lang w:val="en-US" w:eastAsia="zh-CN"/>
        </w:rPr>
        <w:t>3</w:t>
      </w:r>
      <w:r>
        <w:rPr>
          <w:rFonts w:hint="eastAsia" w:ascii="新宋体" w:hAnsi="新宋体" w:eastAsia="新宋体" w:cs="新宋体"/>
          <w:bCs/>
          <w:color w:val="auto"/>
          <w:kern w:val="0"/>
          <w:sz w:val="22"/>
          <w:szCs w:val="22"/>
          <w:highlight w:val="none"/>
        </w:rPr>
        <w:t>0%）</w:t>
      </w:r>
    </w:p>
    <w:p w14:paraId="634653CA">
      <w:pPr>
        <w:numPr>
          <w:ilvl w:val="0"/>
          <w:numId w:val="24"/>
        </w:numPr>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如投标供应商报价超过项目采购预算金额</w:t>
      </w:r>
      <w:r>
        <w:rPr>
          <w:rFonts w:hint="eastAsia" w:ascii="新宋体" w:hAnsi="新宋体" w:eastAsia="新宋体" w:cs="新宋体"/>
          <w:bCs/>
          <w:color w:val="auto"/>
          <w:kern w:val="0"/>
          <w:sz w:val="22"/>
          <w:szCs w:val="22"/>
          <w:highlight w:val="none"/>
          <w:lang w:val="en-US" w:eastAsia="zh-CN"/>
        </w:rPr>
        <w:t>或最高限价</w:t>
      </w:r>
      <w:r>
        <w:rPr>
          <w:rFonts w:hint="eastAsia" w:ascii="新宋体" w:hAnsi="新宋体" w:eastAsia="新宋体" w:cs="新宋体"/>
          <w:bCs/>
          <w:color w:val="auto"/>
          <w:kern w:val="0"/>
          <w:sz w:val="22"/>
          <w:szCs w:val="22"/>
          <w:highlight w:val="none"/>
        </w:rPr>
        <w:t>，其投标文件作无效标处理。</w:t>
      </w:r>
    </w:p>
    <w:p w14:paraId="1C094ACC">
      <w:pPr>
        <w:numPr>
          <w:ilvl w:val="0"/>
          <w:numId w:val="24"/>
        </w:numPr>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所有投标供应商商务报价均超过项目采购预算金额</w:t>
      </w:r>
      <w:r>
        <w:rPr>
          <w:rFonts w:hint="eastAsia" w:ascii="新宋体" w:hAnsi="新宋体" w:eastAsia="新宋体" w:cs="新宋体"/>
          <w:bCs/>
          <w:color w:val="auto"/>
          <w:kern w:val="0"/>
          <w:sz w:val="22"/>
          <w:szCs w:val="22"/>
          <w:highlight w:val="none"/>
          <w:lang w:val="en-US" w:eastAsia="zh-CN"/>
        </w:rPr>
        <w:t>或最高限价</w:t>
      </w:r>
      <w:r>
        <w:rPr>
          <w:rFonts w:hint="eastAsia" w:ascii="新宋体" w:hAnsi="新宋体" w:eastAsia="新宋体" w:cs="新宋体"/>
          <w:bCs/>
          <w:color w:val="auto"/>
          <w:kern w:val="0"/>
          <w:sz w:val="22"/>
          <w:szCs w:val="22"/>
          <w:highlight w:val="none"/>
        </w:rPr>
        <w:t>，项目按流（废）标处理，重新组织采购程序。</w:t>
      </w:r>
    </w:p>
    <w:p w14:paraId="2B87227E">
      <w:pPr>
        <w:numPr>
          <w:ilvl w:val="0"/>
          <w:numId w:val="24"/>
        </w:numPr>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kern w:val="0"/>
          <w:sz w:val="22"/>
          <w:szCs w:val="22"/>
          <w:highlight w:val="none"/>
        </w:rPr>
        <w:t>本项目采购预算金额为</w:t>
      </w:r>
      <w:r>
        <w:rPr>
          <w:rFonts w:hint="eastAsia" w:ascii="新宋体" w:hAnsi="新宋体" w:eastAsia="新宋体" w:cs="新宋体"/>
          <w:bCs/>
          <w:color w:val="auto"/>
          <w:kern w:val="0"/>
          <w:sz w:val="22"/>
          <w:szCs w:val="22"/>
          <w:highlight w:val="none"/>
          <w:lang w:val="en-US" w:eastAsia="zh-CN"/>
        </w:rPr>
        <w:t>62</w:t>
      </w:r>
      <w:r>
        <w:rPr>
          <w:rFonts w:hint="eastAsia" w:ascii="新宋体" w:hAnsi="新宋体" w:eastAsia="新宋体" w:cs="新宋体"/>
          <w:bCs/>
          <w:color w:val="auto"/>
          <w:kern w:val="0"/>
          <w:sz w:val="22"/>
          <w:szCs w:val="22"/>
          <w:highlight w:val="none"/>
        </w:rPr>
        <w:t>万元整。</w:t>
      </w:r>
    </w:p>
    <w:p w14:paraId="7A42FFF4">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3.有效投标供应商的综合得分为技术资信分和商务报价分的总和。</w:t>
      </w:r>
    </w:p>
    <w:p w14:paraId="77623F14">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评标委员会依据法律、法规及采购文件有关规定在有效标中按投标供应商的最终得分（即技术资信分与商务报价分之和）高低进行排序，得分前两名的投标供应商推荐为中标候选供应商与备选中标供应商（得分相同投标报价低的排序优先；得分且投标报价相同的，由评委抽签决定排序）。</w:t>
      </w:r>
    </w:p>
    <w:sectPr>
      <w:headerReference r:id="rId10" w:type="default"/>
      <w:footerReference r:id="rId11" w:type="default"/>
      <w:type w:val="nextColumn"/>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1"/>
    <w:family w:val="roman"/>
    <w:pitch w:val="default"/>
    <w:sig w:usb0="00000000"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C255C">
    <w:pPr>
      <w:pStyle w:val="17"/>
      <w:pBdr>
        <w:top w:val="single" w:color="auto" w:sz="4" w:space="0"/>
      </w:pBdr>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7067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870670">
                    <w:pPr>
                      <w:pStyle w:val="17"/>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rPr>
      <w:t>温州市智信招标代理有限公司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404A">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C7964">
    <w:pPr>
      <w:pStyle w:val="1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1E5DDD">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401E5DDD">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84A9">
    <w:pPr>
      <w:pStyle w:val="17"/>
      <w:pBdr>
        <w:top w:val="single" w:color="auto" w:sz="4" w:space="0"/>
      </w:pBdr>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05740"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05740" cy="131445"/>
                      </a:xfrm>
                      <a:prstGeom prst="rect">
                        <a:avLst/>
                      </a:prstGeom>
                      <a:noFill/>
                      <a:ln>
                        <a:noFill/>
                      </a:ln>
                      <a:effectLst/>
                    </wps:spPr>
                    <wps:txbx>
                      <w:txbxContent>
                        <w:p w14:paraId="4C985504">
                          <w:pPr>
                            <w:pStyle w:val="17"/>
                            <w:rPr>
                              <w:rFonts w:eastAsia="宋体"/>
                            </w:rPr>
                          </w:pPr>
                          <w:r>
                            <w:rPr>
                              <w:rFonts w:eastAsia="宋体"/>
                            </w:rPr>
                            <w:fldChar w:fldCharType="begin"/>
                          </w:r>
                          <w:r>
                            <w:rPr>
                              <w:rFonts w:eastAsia="宋体"/>
                            </w:rPr>
                            <w:instrText xml:space="preserve"> PAGE  \* MERGEFORMAT </w:instrText>
                          </w:r>
                          <w:r>
                            <w:rPr>
                              <w:rFonts w:eastAsia="宋体"/>
                            </w:rPr>
                            <w:fldChar w:fldCharType="separate"/>
                          </w:r>
                          <w:r>
                            <w:rPr>
                              <w:rFonts w:eastAsia="宋体"/>
                            </w:rPr>
                            <w:t>26</w:t>
                          </w:r>
                          <w:r>
                            <w:rPr>
                              <w:rFonts w:eastAsia="宋体"/>
                            </w:rP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0.35pt;width:16.2pt;mso-position-horizontal:center;mso-position-horizontal-relative:margin;z-index:251660288;mso-width-relative:page;mso-height-relative:page;" filled="f" stroked="f" coordsize="21600,21600" o:gfxdata="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vIOwtIAAAADAQAADwAAAAAAAAABACAAAAAi&#10;AAAAZHJzL2Rvd25yZXYueG1sUEsBAhQAFAAAAAgAh07iQGtNsVcQAgAAEgQAAA4AAAAAAAAAAQAg&#10;AAAAIQEAAGRycy9lMm9Eb2MueG1sUEsFBgAAAAAGAAYAWQEAAKMFAAAAAA==&#10;">
              <v:fill on="f" focussize="0,0"/>
              <v:stroke on="f"/>
              <v:imagedata o:title=""/>
              <o:lock v:ext="edit" aspectratio="f"/>
              <v:textbox inset="0mm,0mm,0mm,0mm" style="mso-fit-shape-to-text:t;">
                <w:txbxContent>
                  <w:p w14:paraId="4C985504">
                    <w:pPr>
                      <w:pStyle w:val="17"/>
                      <w:rPr>
                        <w:rFonts w:eastAsia="宋体"/>
                      </w:rPr>
                    </w:pPr>
                    <w:r>
                      <w:rPr>
                        <w:rFonts w:eastAsia="宋体"/>
                      </w:rPr>
                      <w:fldChar w:fldCharType="begin"/>
                    </w:r>
                    <w:r>
                      <w:rPr>
                        <w:rFonts w:eastAsia="宋体"/>
                      </w:rPr>
                      <w:instrText xml:space="preserve"> PAGE  \* MERGEFORMAT </w:instrText>
                    </w:r>
                    <w:r>
                      <w:rPr>
                        <w:rFonts w:eastAsia="宋体"/>
                      </w:rPr>
                      <w:fldChar w:fldCharType="separate"/>
                    </w:r>
                    <w:r>
                      <w:rPr>
                        <w:rFonts w:eastAsia="宋体"/>
                      </w:rPr>
                      <w:t>26</w:t>
                    </w:r>
                    <w:r>
                      <w:rPr>
                        <w:rFonts w:eastAsia="宋体"/>
                      </w:rPr>
                      <w:fldChar w:fldCharType="end"/>
                    </w:r>
                  </w:p>
                </w:txbxContent>
              </v:textbox>
            </v:shape>
          </w:pict>
        </mc:Fallback>
      </mc:AlternateContent>
    </w:r>
    <w:r>
      <w:rPr>
        <w:rFonts w:hint="eastAsia" w:eastAsia="宋体"/>
      </w:rPr>
      <w:t>温州市智信招标代理有限公司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C8769">
    <w:pPr>
      <w:pStyle w:val="18"/>
      <w:jc w:val="both"/>
      <w:rPr>
        <w:rFonts w:eastAsia="宋体"/>
      </w:rPr>
    </w:pPr>
    <w:r>
      <w:rPr>
        <w:rFonts w:hint="eastAsia" w:eastAsia="宋体"/>
      </w:rPr>
      <w:t>温州市国有企业采购文件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F6F9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756CA">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55054">
    <w:pPr>
      <w:pStyle w:val="18"/>
      <w:pBdr>
        <w:bottom w:val="none" w:color="auto" w:sz="0" w:space="1"/>
      </w:pBdr>
      <w:jc w:val="both"/>
      <w:rPr>
        <w:rFonts w:ascii="Arial" w:hAnsi="Arial" w:cs="Arial"/>
      </w:rPr>
    </w:pPr>
    <w:r>
      <w:rPr>
        <w:rFonts w:ascii="Arial" w:hAnsi="Arial" w:cs="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12CD4">
    <w:pPr>
      <w:pStyle w:val="18"/>
      <w:pBdr>
        <w:bottom w:val="none" w:color="auto" w:sz="0" w:space="1"/>
      </w:pBdr>
      <w:jc w:val="both"/>
      <w:rPr>
        <w:rFonts w:ascii="Arial" w:hAnsi="Arial" w:cs="Arial"/>
      </w:rPr>
    </w:pPr>
    <w:r>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ADE7E"/>
    <w:multiLevelType w:val="singleLevel"/>
    <w:tmpl w:val="839ADE7E"/>
    <w:lvl w:ilvl="0" w:tentative="0">
      <w:start w:val="1"/>
      <w:numFmt w:val="decimal"/>
      <w:suff w:val="nothing"/>
      <w:lvlText w:val="%1．"/>
      <w:lvlJc w:val="left"/>
      <w:pPr>
        <w:ind w:left="0" w:firstLine="400"/>
      </w:pPr>
      <w:rPr>
        <w:rFonts w:hint="default"/>
      </w:rPr>
    </w:lvl>
  </w:abstractNum>
  <w:abstractNum w:abstractNumId="1">
    <w:nsid w:val="8A971587"/>
    <w:multiLevelType w:val="singleLevel"/>
    <w:tmpl w:val="8A971587"/>
    <w:lvl w:ilvl="0" w:tentative="0">
      <w:start w:val="1"/>
      <w:numFmt w:val="decimal"/>
      <w:suff w:val="nothing"/>
      <w:lvlText w:val="%1．"/>
      <w:lvlJc w:val="left"/>
      <w:pPr>
        <w:ind w:left="0" w:firstLine="400"/>
      </w:pPr>
      <w:rPr>
        <w:rFonts w:hint="default"/>
      </w:rPr>
    </w:lvl>
  </w:abstractNum>
  <w:abstractNum w:abstractNumId="2">
    <w:nsid w:val="9780D570"/>
    <w:multiLevelType w:val="singleLevel"/>
    <w:tmpl w:val="9780D570"/>
    <w:lvl w:ilvl="0" w:tentative="0">
      <w:start w:val="1"/>
      <w:numFmt w:val="decimal"/>
      <w:suff w:val="nothing"/>
      <w:lvlText w:val="%1．"/>
      <w:lvlJc w:val="left"/>
      <w:pPr>
        <w:ind w:left="0" w:firstLine="400"/>
      </w:pPr>
      <w:rPr>
        <w:rFonts w:hint="default"/>
      </w:rPr>
    </w:lvl>
  </w:abstractNum>
  <w:abstractNum w:abstractNumId="3">
    <w:nsid w:val="980C886E"/>
    <w:multiLevelType w:val="singleLevel"/>
    <w:tmpl w:val="980C886E"/>
    <w:lvl w:ilvl="0" w:tentative="0">
      <w:start w:val="1"/>
      <w:numFmt w:val="decimal"/>
      <w:suff w:val="space"/>
      <w:lvlText w:val="%1)"/>
      <w:lvlJc w:val="left"/>
    </w:lvl>
  </w:abstractNum>
  <w:abstractNum w:abstractNumId="4">
    <w:nsid w:val="AEF1AA36"/>
    <w:multiLevelType w:val="singleLevel"/>
    <w:tmpl w:val="AEF1AA36"/>
    <w:lvl w:ilvl="0" w:tentative="0">
      <w:start w:val="1"/>
      <w:numFmt w:val="decimal"/>
      <w:suff w:val="nothing"/>
      <w:lvlText w:val="%1．"/>
      <w:lvlJc w:val="left"/>
      <w:pPr>
        <w:ind w:left="20" w:firstLine="400"/>
      </w:pPr>
      <w:rPr>
        <w:rFonts w:hint="default"/>
      </w:rPr>
    </w:lvl>
  </w:abstractNum>
  <w:abstractNum w:abstractNumId="5">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4.%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00000022"/>
    <w:multiLevelType w:val="multilevel"/>
    <w:tmpl w:val="00000022"/>
    <w:lvl w:ilvl="0" w:tentative="0">
      <w:start w:val="1"/>
      <w:numFmt w:val="decimal"/>
      <w:lvlText w:val="%1."/>
      <w:lvlJc w:val="left"/>
      <w:pPr>
        <w:tabs>
          <w:tab w:val="left" w:pos="420"/>
        </w:tabs>
        <w:ind w:left="420" w:hanging="420"/>
      </w:pPr>
      <w:rPr>
        <w:rFonts w:hint="eastAsia" w:ascii="楷体_GB2312" w:hAnsi="Tahoma" w:eastAsia="楷体_GB2312" w:cs="Courier New"/>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7">
    <w:nsid w:val="00000032"/>
    <w:multiLevelType w:val="multilevel"/>
    <w:tmpl w:val="00000032"/>
    <w:lvl w:ilvl="0" w:tentative="0">
      <w:start w:val="19"/>
      <w:numFmt w:val="decimal"/>
      <w:lvlText w:val="%1."/>
      <w:lvlJc w:val="left"/>
      <w:pPr>
        <w:tabs>
          <w:tab w:val="left" w:pos="420"/>
        </w:tabs>
        <w:ind w:left="420" w:hanging="420"/>
      </w:pPr>
      <w:rPr>
        <w:rFonts w:hint="eastAsia" w:ascii="楷体_GB2312" w:hAnsi="Tahoma" w:eastAsia="楷体_GB2312" w:cs="Courier New"/>
        <w:b w:val="0"/>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8">
    <w:nsid w:val="00000039"/>
    <w:multiLevelType w:val="multilevel"/>
    <w:tmpl w:val="00000039"/>
    <w:lvl w:ilvl="0" w:tentative="0">
      <w:start w:val="1"/>
      <w:numFmt w:val="decimal"/>
      <w:lvlText w:val="（%1）"/>
      <w:lvlJc w:val="left"/>
      <w:pPr>
        <w:tabs>
          <w:tab w:val="left" w:pos="420"/>
        </w:tabs>
        <w:ind w:left="420" w:hanging="420"/>
      </w:pPr>
      <w:rPr>
        <w:rFonts w:hint="eastAsia" w:ascii="楷体_GB2312" w:eastAsia="楷体_GB2312"/>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b w:val="0"/>
        <w:i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3A"/>
    <w:multiLevelType w:val="multilevel"/>
    <w:tmpl w:val="0000003A"/>
    <w:lvl w:ilvl="0" w:tentative="0">
      <w:start w:val="5"/>
      <w:numFmt w:val="decimal"/>
      <w:lvlText w:val="%1."/>
      <w:lvlJc w:val="left"/>
      <w:pPr>
        <w:tabs>
          <w:tab w:val="left" w:pos="420"/>
        </w:tabs>
        <w:ind w:left="420" w:hanging="420"/>
      </w:pPr>
      <w:rPr>
        <w:rFonts w:hint="eastAsia" w:ascii="楷体_GB2312" w:hAnsi="Tahoma" w:eastAsia="楷体_GB2312" w:cs="Courier New"/>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10">
    <w:nsid w:val="00000041"/>
    <w:multiLevelType w:val="multilevel"/>
    <w:tmpl w:val="00000041"/>
    <w:lvl w:ilvl="0" w:tentative="0">
      <w:start w:val="1"/>
      <w:numFmt w:val="decimal"/>
      <w:lvlText w:val="%1)"/>
      <w:lvlJc w:val="left"/>
      <w:pPr>
        <w:tabs>
          <w:tab w:val="left" w:pos="780"/>
        </w:tabs>
        <w:ind w:left="780" w:hanging="420"/>
      </w:pPr>
      <w:rPr>
        <w:rFonts w:hint="eastAsia" w:ascii="楷体_GB2312" w:hAnsi="Tahoma" w:eastAsia="楷体_GB2312" w:cs="Tahoma"/>
        <w:b w:val="0"/>
      </w:rPr>
    </w:lvl>
    <w:lvl w:ilvl="1" w:tentative="0">
      <w:start w:val="1"/>
      <w:numFmt w:val="lowerLetter"/>
      <w:lvlText w:val="%2)"/>
      <w:lvlJc w:val="left"/>
      <w:pPr>
        <w:tabs>
          <w:tab w:val="left" w:pos="840"/>
        </w:tabs>
        <w:ind w:left="840" w:hanging="420"/>
      </w:pPr>
      <w:rPr>
        <w:b w:val="0"/>
      </w:rPr>
    </w:lvl>
    <w:lvl w:ilvl="2" w:tentative="0">
      <w:start w:val="1"/>
      <w:numFmt w:val="chineseCountingThousand"/>
      <w:lvlText w:val="(%3)"/>
      <w:lvlJc w:val="left"/>
      <w:pPr>
        <w:tabs>
          <w:tab w:val="left" w:pos="600"/>
        </w:tabs>
        <w:ind w:left="600" w:hanging="420"/>
      </w:pPr>
      <w:rPr>
        <w:rFonts w:hint="eastAsia"/>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4A"/>
    <w:multiLevelType w:val="multilevel"/>
    <w:tmpl w:val="0000004A"/>
    <w:lvl w:ilvl="0" w:tentative="0">
      <w:start w:val="16"/>
      <w:numFmt w:val="decimal"/>
      <w:lvlText w:val="%1."/>
      <w:lvlJc w:val="left"/>
      <w:pPr>
        <w:tabs>
          <w:tab w:val="left" w:pos="420"/>
        </w:tabs>
        <w:ind w:left="420" w:hanging="420"/>
      </w:pPr>
      <w:rPr>
        <w:rFonts w:hint="eastAsia" w:ascii="楷体_GB2312" w:hAnsi="Tahoma" w:eastAsia="楷体_GB2312" w:cs="Courier New"/>
        <w:b w:val="0"/>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12">
    <w:nsid w:val="0000004D"/>
    <w:multiLevelType w:val="multilevel"/>
    <w:tmpl w:val="0000004D"/>
    <w:lvl w:ilvl="0" w:tentative="0">
      <w:start w:val="8"/>
      <w:numFmt w:val="decimal"/>
      <w:lvlText w:val="%1."/>
      <w:lvlJc w:val="left"/>
      <w:pPr>
        <w:tabs>
          <w:tab w:val="left" w:pos="420"/>
        </w:tabs>
        <w:ind w:left="420" w:hanging="420"/>
      </w:pPr>
      <w:rPr>
        <w:rFonts w:hint="eastAsia" w:ascii="楷体_GB2312" w:hAnsi="Tahoma" w:eastAsia="楷体_GB2312" w:cs="Courier New"/>
        <w:b w:val="0"/>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13">
    <w:nsid w:val="0E42B454"/>
    <w:multiLevelType w:val="singleLevel"/>
    <w:tmpl w:val="0E42B454"/>
    <w:lvl w:ilvl="0" w:tentative="0">
      <w:start w:val="1"/>
      <w:numFmt w:val="bullet"/>
      <w:pStyle w:val="14"/>
      <w:lvlText w:val=""/>
      <w:lvlJc w:val="left"/>
      <w:pPr>
        <w:tabs>
          <w:tab w:val="left" w:pos="780"/>
        </w:tabs>
        <w:ind w:left="780" w:hanging="360"/>
      </w:pPr>
      <w:rPr>
        <w:rFonts w:hint="default" w:ascii="Wingdings" w:hAnsi="Wingdings"/>
      </w:rPr>
    </w:lvl>
  </w:abstractNum>
  <w:abstractNum w:abstractNumId="14">
    <w:nsid w:val="0E4487C0"/>
    <w:multiLevelType w:val="singleLevel"/>
    <w:tmpl w:val="0E4487C0"/>
    <w:lvl w:ilvl="0" w:tentative="0">
      <w:start w:val="1"/>
      <w:numFmt w:val="decimalEnclosedCircleChinese"/>
      <w:suff w:val="nothing"/>
      <w:lvlText w:val="%1　"/>
      <w:lvlJc w:val="left"/>
      <w:pPr>
        <w:ind w:left="0" w:firstLine="400"/>
      </w:pPr>
      <w:rPr>
        <w:rFonts w:hint="eastAsia"/>
      </w:rPr>
    </w:lvl>
  </w:abstractNum>
  <w:abstractNum w:abstractNumId="15">
    <w:nsid w:val="17501AC2"/>
    <w:multiLevelType w:val="singleLevel"/>
    <w:tmpl w:val="17501AC2"/>
    <w:lvl w:ilvl="0" w:tentative="0">
      <w:start w:val="1"/>
      <w:numFmt w:val="decimalEnclosedCircleChinese"/>
      <w:suff w:val="nothing"/>
      <w:lvlText w:val="%1　"/>
      <w:lvlJc w:val="left"/>
      <w:pPr>
        <w:ind w:left="0" w:firstLine="400"/>
      </w:pPr>
      <w:rPr>
        <w:rFonts w:hint="eastAsia"/>
      </w:rPr>
    </w:lvl>
  </w:abstractNum>
  <w:abstractNum w:abstractNumId="16">
    <w:nsid w:val="189413C5"/>
    <w:multiLevelType w:val="multilevel"/>
    <w:tmpl w:val="189413C5"/>
    <w:lvl w:ilvl="0" w:tentative="0">
      <w:start w:val="1"/>
      <w:numFmt w:val="upperLetter"/>
      <w:lvlText w:val="%1."/>
      <w:lvlJc w:val="left"/>
      <w:pPr>
        <w:ind w:left="820" w:hanging="420"/>
      </w:pPr>
    </w:lvl>
    <w:lvl w:ilvl="1" w:tentative="0">
      <w:start w:val="1"/>
      <w:numFmt w:val="lowerLetter"/>
      <w:lvlText w:val="%2)"/>
      <w:lvlJc w:val="left"/>
      <w:pPr>
        <w:ind w:left="1240" w:hanging="420"/>
      </w:pPr>
    </w:lvl>
    <w:lvl w:ilvl="2" w:tentative="0">
      <w:start w:val="1"/>
      <w:numFmt w:val="lowerRoman"/>
      <w:lvlText w:val="%3."/>
      <w:lvlJc w:val="right"/>
      <w:pPr>
        <w:ind w:left="1660" w:hanging="420"/>
      </w:pPr>
    </w:lvl>
    <w:lvl w:ilvl="3" w:tentative="0">
      <w:start w:val="1"/>
      <w:numFmt w:val="decimal"/>
      <w:lvlText w:val="%4."/>
      <w:lvlJc w:val="left"/>
      <w:pPr>
        <w:ind w:left="2080" w:hanging="420"/>
      </w:pPr>
    </w:lvl>
    <w:lvl w:ilvl="4" w:tentative="0">
      <w:start w:val="1"/>
      <w:numFmt w:val="lowerLetter"/>
      <w:lvlText w:val="%5)"/>
      <w:lvlJc w:val="left"/>
      <w:pPr>
        <w:ind w:left="2500" w:hanging="420"/>
      </w:pPr>
    </w:lvl>
    <w:lvl w:ilvl="5" w:tentative="0">
      <w:start w:val="1"/>
      <w:numFmt w:val="lowerRoman"/>
      <w:lvlText w:val="%6."/>
      <w:lvlJc w:val="right"/>
      <w:pPr>
        <w:ind w:left="2920" w:hanging="420"/>
      </w:pPr>
    </w:lvl>
    <w:lvl w:ilvl="6" w:tentative="0">
      <w:start w:val="1"/>
      <w:numFmt w:val="decimal"/>
      <w:lvlText w:val="%7."/>
      <w:lvlJc w:val="left"/>
      <w:pPr>
        <w:ind w:left="3340" w:hanging="420"/>
      </w:pPr>
    </w:lvl>
    <w:lvl w:ilvl="7" w:tentative="0">
      <w:start w:val="1"/>
      <w:numFmt w:val="lowerLetter"/>
      <w:lvlText w:val="%8)"/>
      <w:lvlJc w:val="left"/>
      <w:pPr>
        <w:ind w:left="3760" w:hanging="420"/>
      </w:pPr>
    </w:lvl>
    <w:lvl w:ilvl="8" w:tentative="0">
      <w:start w:val="1"/>
      <w:numFmt w:val="lowerRoman"/>
      <w:lvlText w:val="%9."/>
      <w:lvlJc w:val="right"/>
      <w:pPr>
        <w:ind w:left="4180" w:hanging="420"/>
      </w:pPr>
    </w:lvl>
  </w:abstractNum>
  <w:abstractNum w:abstractNumId="17">
    <w:nsid w:val="27FE15D6"/>
    <w:multiLevelType w:val="singleLevel"/>
    <w:tmpl w:val="27FE15D6"/>
    <w:lvl w:ilvl="0" w:tentative="0">
      <w:start w:val="1"/>
      <w:numFmt w:val="decimal"/>
      <w:lvlText w:val="%1."/>
      <w:lvlJc w:val="left"/>
      <w:pPr>
        <w:tabs>
          <w:tab w:val="left" w:pos="312"/>
        </w:tabs>
      </w:pPr>
    </w:lvl>
  </w:abstractNum>
  <w:abstractNum w:abstractNumId="18">
    <w:nsid w:val="3380FA00"/>
    <w:multiLevelType w:val="singleLevel"/>
    <w:tmpl w:val="3380FA00"/>
    <w:lvl w:ilvl="0" w:tentative="0">
      <w:start w:val="1"/>
      <w:numFmt w:val="decimal"/>
      <w:suff w:val="nothing"/>
      <w:lvlText w:val="%1）"/>
      <w:lvlJc w:val="left"/>
    </w:lvl>
  </w:abstractNum>
  <w:abstractNum w:abstractNumId="19">
    <w:nsid w:val="541A3651"/>
    <w:multiLevelType w:val="singleLevel"/>
    <w:tmpl w:val="541A3651"/>
    <w:lvl w:ilvl="0" w:tentative="0">
      <w:start w:val="3"/>
      <w:numFmt w:val="chineseCounting"/>
      <w:suff w:val="nothing"/>
      <w:lvlText w:val="%1、"/>
      <w:lvlJc w:val="left"/>
      <w:rPr>
        <w:rFonts w:hint="eastAsia"/>
      </w:rPr>
    </w:lvl>
  </w:abstractNum>
  <w:abstractNum w:abstractNumId="20">
    <w:nsid w:val="57481DA1"/>
    <w:multiLevelType w:val="singleLevel"/>
    <w:tmpl w:val="57481DA1"/>
    <w:lvl w:ilvl="0" w:tentative="0">
      <w:start w:val="1"/>
      <w:numFmt w:val="chineseCounting"/>
      <w:suff w:val="nothing"/>
      <w:lvlText w:val="%1、"/>
      <w:lvlJc w:val="left"/>
      <w:pPr>
        <w:ind w:left="0" w:firstLine="420"/>
      </w:pPr>
      <w:rPr>
        <w:rFonts w:hint="eastAsia"/>
      </w:rPr>
    </w:lvl>
  </w:abstractNum>
  <w:abstractNum w:abstractNumId="21">
    <w:nsid w:val="5A1B912C"/>
    <w:multiLevelType w:val="singleLevel"/>
    <w:tmpl w:val="5A1B912C"/>
    <w:lvl w:ilvl="0" w:tentative="0">
      <w:start w:val="1"/>
      <w:numFmt w:val="decimalEnclosedCircleChinese"/>
      <w:suff w:val="nothing"/>
      <w:lvlText w:val="%1　"/>
      <w:lvlJc w:val="left"/>
      <w:pPr>
        <w:ind w:left="0" w:firstLine="400"/>
      </w:pPr>
      <w:rPr>
        <w:rFonts w:hint="eastAsia"/>
      </w:rPr>
    </w:lvl>
  </w:abstractNum>
  <w:abstractNum w:abstractNumId="22">
    <w:nsid w:val="7641CACD"/>
    <w:multiLevelType w:val="singleLevel"/>
    <w:tmpl w:val="7641CACD"/>
    <w:lvl w:ilvl="0" w:tentative="0">
      <w:start w:val="2"/>
      <w:numFmt w:val="decimal"/>
      <w:suff w:val="nothing"/>
      <w:lvlText w:val="（%1）"/>
      <w:lvlJc w:val="left"/>
      <w:rPr>
        <w:b/>
      </w:rPr>
    </w:lvl>
  </w:abstractNum>
  <w:abstractNum w:abstractNumId="23">
    <w:nsid w:val="7B9B3A13"/>
    <w:multiLevelType w:val="singleLevel"/>
    <w:tmpl w:val="7B9B3A13"/>
    <w:lvl w:ilvl="0" w:tentative="0">
      <w:start w:val="1"/>
      <w:numFmt w:val="decimalEnclosedCircleChinese"/>
      <w:suff w:val="nothing"/>
      <w:lvlText w:val="%1　"/>
      <w:lvlJc w:val="left"/>
      <w:pPr>
        <w:ind w:left="0" w:firstLine="400"/>
      </w:pPr>
      <w:rPr>
        <w:rFonts w:hint="eastAsia"/>
      </w:rPr>
    </w:lvl>
  </w:abstractNum>
  <w:num w:numId="1">
    <w:abstractNumId w:val="13"/>
  </w:num>
  <w:num w:numId="2">
    <w:abstractNumId w:val="6"/>
  </w:num>
  <w:num w:numId="3">
    <w:abstractNumId w:val="9"/>
  </w:num>
  <w:num w:numId="4">
    <w:abstractNumId w:val="12"/>
  </w:num>
  <w:num w:numId="5">
    <w:abstractNumId w:val="23"/>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14"/>
  </w:num>
  <w:num w:numId="10">
    <w:abstractNumId w:val="8"/>
  </w:num>
  <w:num w:numId="11">
    <w:abstractNumId w:val="5"/>
  </w:num>
  <w:num w:numId="12">
    <w:abstractNumId w:val="11"/>
  </w:num>
  <w:num w:numId="13">
    <w:abstractNumId w:val="21"/>
  </w:num>
  <w:num w:numId="14">
    <w:abstractNumId w:val="7"/>
  </w:num>
  <w:num w:numId="15">
    <w:abstractNumId w:val="18"/>
  </w:num>
  <w:num w:numId="16">
    <w:abstractNumId w:val="3"/>
  </w:num>
  <w:num w:numId="17">
    <w:abstractNumId w:val="20"/>
    <w:lvlOverride w:ilvl="0">
      <w:startOverride w:val="1"/>
    </w:lvlOverride>
  </w:num>
  <w:num w:numId="18">
    <w:abstractNumId w:val="2"/>
  </w:num>
  <w:num w:numId="19">
    <w:abstractNumId w:val="0"/>
  </w:num>
  <w:num w:numId="20">
    <w:abstractNumId w:val="4"/>
  </w:num>
  <w:num w:numId="21">
    <w:abstractNumId w:val="19"/>
  </w:num>
  <w:num w:numId="22">
    <w:abstractNumId w:val="1"/>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573707"/>
    <w:rsid w:val="0003450B"/>
    <w:rsid w:val="00047EA3"/>
    <w:rsid w:val="00064884"/>
    <w:rsid w:val="00076A5F"/>
    <w:rsid w:val="00094053"/>
    <w:rsid w:val="000B0356"/>
    <w:rsid w:val="000F025D"/>
    <w:rsid w:val="0010113B"/>
    <w:rsid w:val="00104E3C"/>
    <w:rsid w:val="00152FAD"/>
    <w:rsid w:val="00155D19"/>
    <w:rsid w:val="00165DF1"/>
    <w:rsid w:val="00176376"/>
    <w:rsid w:val="0017738B"/>
    <w:rsid w:val="00180520"/>
    <w:rsid w:val="00186DEF"/>
    <w:rsid w:val="001A037B"/>
    <w:rsid w:val="001A763B"/>
    <w:rsid w:val="001B1922"/>
    <w:rsid w:val="001C057C"/>
    <w:rsid w:val="001E6DAD"/>
    <w:rsid w:val="001F7C5C"/>
    <w:rsid w:val="00220781"/>
    <w:rsid w:val="002251B6"/>
    <w:rsid w:val="0024575B"/>
    <w:rsid w:val="00273805"/>
    <w:rsid w:val="00275335"/>
    <w:rsid w:val="0027734C"/>
    <w:rsid w:val="002C184E"/>
    <w:rsid w:val="002C28DD"/>
    <w:rsid w:val="002D29A0"/>
    <w:rsid w:val="002D4164"/>
    <w:rsid w:val="003329D5"/>
    <w:rsid w:val="00332DFA"/>
    <w:rsid w:val="00342A8B"/>
    <w:rsid w:val="00344ED7"/>
    <w:rsid w:val="0038026D"/>
    <w:rsid w:val="003B4E7A"/>
    <w:rsid w:val="003C57C7"/>
    <w:rsid w:val="003E3E64"/>
    <w:rsid w:val="003E6BDB"/>
    <w:rsid w:val="003F592B"/>
    <w:rsid w:val="00434E6A"/>
    <w:rsid w:val="0047141F"/>
    <w:rsid w:val="0048472E"/>
    <w:rsid w:val="00485FD3"/>
    <w:rsid w:val="00495776"/>
    <w:rsid w:val="004979E5"/>
    <w:rsid w:val="004B1BEE"/>
    <w:rsid w:val="004D0C10"/>
    <w:rsid w:val="004E63A1"/>
    <w:rsid w:val="004F0123"/>
    <w:rsid w:val="004F045F"/>
    <w:rsid w:val="004F3D4C"/>
    <w:rsid w:val="004F413C"/>
    <w:rsid w:val="00503059"/>
    <w:rsid w:val="00507474"/>
    <w:rsid w:val="00520377"/>
    <w:rsid w:val="005256E5"/>
    <w:rsid w:val="005432C2"/>
    <w:rsid w:val="00554F06"/>
    <w:rsid w:val="00565EB5"/>
    <w:rsid w:val="00573707"/>
    <w:rsid w:val="00573FF3"/>
    <w:rsid w:val="0058369E"/>
    <w:rsid w:val="005907FD"/>
    <w:rsid w:val="005948C2"/>
    <w:rsid w:val="00597668"/>
    <w:rsid w:val="005B43AC"/>
    <w:rsid w:val="005C6AC7"/>
    <w:rsid w:val="005E3FEA"/>
    <w:rsid w:val="005E51B2"/>
    <w:rsid w:val="0061665C"/>
    <w:rsid w:val="0062403E"/>
    <w:rsid w:val="006270FD"/>
    <w:rsid w:val="00635408"/>
    <w:rsid w:val="0063597D"/>
    <w:rsid w:val="00643D17"/>
    <w:rsid w:val="00663709"/>
    <w:rsid w:val="006657A6"/>
    <w:rsid w:val="00670EBB"/>
    <w:rsid w:val="006B7E60"/>
    <w:rsid w:val="006D42C3"/>
    <w:rsid w:val="006E1687"/>
    <w:rsid w:val="006F6223"/>
    <w:rsid w:val="00700815"/>
    <w:rsid w:val="007030B1"/>
    <w:rsid w:val="007110A1"/>
    <w:rsid w:val="007113BF"/>
    <w:rsid w:val="00717DBB"/>
    <w:rsid w:val="00731F37"/>
    <w:rsid w:val="00757F5A"/>
    <w:rsid w:val="007747E3"/>
    <w:rsid w:val="00783F6A"/>
    <w:rsid w:val="00795EB3"/>
    <w:rsid w:val="007A0E13"/>
    <w:rsid w:val="007C207D"/>
    <w:rsid w:val="00800D13"/>
    <w:rsid w:val="0080219C"/>
    <w:rsid w:val="00837706"/>
    <w:rsid w:val="00852371"/>
    <w:rsid w:val="008714D5"/>
    <w:rsid w:val="0087607E"/>
    <w:rsid w:val="008A524F"/>
    <w:rsid w:val="008B7B4F"/>
    <w:rsid w:val="008C0E99"/>
    <w:rsid w:val="008F6EEB"/>
    <w:rsid w:val="008F7CA3"/>
    <w:rsid w:val="0090029D"/>
    <w:rsid w:val="00905E4F"/>
    <w:rsid w:val="009073D9"/>
    <w:rsid w:val="00927808"/>
    <w:rsid w:val="00930075"/>
    <w:rsid w:val="00961539"/>
    <w:rsid w:val="00971CE3"/>
    <w:rsid w:val="00A17466"/>
    <w:rsid w:val="00A6587D"/>
    <w:rsid w:val="00AB025D"/>
    <w:rsid w:val="00AB4D5A"/>
    <w:rsid w:val="00AE124A"/>
    <w:rsid w:val="00AF62E6"/>
    <w:rsid w:val="00B33235"/>
    <w:rsid w:val="00B35C49"/>
    <w:rsid w:val="00B5364E"/>
    <w:rsid w:val="00B64613"/>
    <w:rsid w:val="00B96BA7"/>
    <w:rsid w:val="00BB0351"/>
    <w:rsid w:val="00BB63DF"/>
    <w:rsid w:val="00BF154C"/>
    <w:rsid w:val="00BF6506"/>
    <w:rsid w:val="00C14C66"/>
    <w:rsid w:val="00C342CE"/>
    <w:rsid w:val="00C434BC"/>
    <w:rsid w:val="00C502E1"/>
    <w:rsid w:val="00C60A3F"/>
    <w:rsid w:val="00C73CF2"/>
    <w:rsid w:val="00CB51B6"/>
    <w:rsid w:val="00CD353E"/>
    <w:rsid w:val="00CF7928"/>
    <w:rsid w:val="00D11F5F"/>
    <w:rsid w:val="00D13962"/>
    <w:rsid w:val="00D454EE"/>
    <w:rsid w:val="00D67446"/>
    <w:rsid w:val="00DC5754"/>
    <w:rsid w:val="00DF7296"/>
    <w:rsid w:val="00E037A7"/>
    <w:rsid w:val="00E37806"/>
    <w:rsid w:val="00E46E39"/>
    <w:rsid w:val="00E55FB1"/>
    <w:rsid w:val="00E73540"/>
    <w:rsid w:val="00E74B07"/>
    <w:rsid w:val="00EA233A"/>
    <w:rsid w:val="00EC3A4D"/>
    <w:rsid w:val="00EE4288"/>
    <w:rsid w:val="00F10FB3"/>
    <w:rsid w:val="00F22728"/>
    <w:rsid w:val="00F4509C"/>
    <w:rsid w:val="00F5475C"/>
    <w:rsid w:val="00FD46C2"/>
    <w:rsid w:val="010B751B"/>
    <w:rsid w:val="01734F00"/>
    <w:rsid w:val="01B57D40"/>
    <w:rsid w:val="01D66C19"/>
    <w:rsid w:val="01FF1CE6"/>
    <w:rsid w:val="021B568A"/>
    <w:rsid w:val="027409AA"/>
    <w:rsid w:val="02E1151B"/>
    <w:rsid w:val="02E402FA"/>
    <w:rsid w:val="02F1302A"/>
    <w:rsid w:val="02F5102A"/>
    <w:rsid w:val="030C017A"/>
    <w:rsid w:val="03137876"/>
    <w:rsid w:val="032956BA"/>
    <w:rsid w:val="033C20F3"/>
    <w:rsid w:val="036C6691"/>
    <w:rsid w:val="03D26007"/>
    <w:rsid w:val="03D35307"/>
    <w:rsid w:val="03E73C28"/>
    <w:rsid w:val="040D290F"/>
    <w:rsid w:val="0461182E"/>
    <w:rsid w:val="046E072D"/>
    <w:rsid w:val="04947BB0"/>
    <w:rsid w:val="058C1C12"/>
    <w:rsid w:val="05AF7C03"/>
    <w:rsid w:val="05E25CD6"/>
    <w:rsid w:val="05F17EAA"/>
    <w:rsid w:val="05FA2ED0"/>
    <w:rsid w:val="061B6F16"/>
    <w:rsid w:val="063454A1"/>
    <w:rsid w:val="065A5D3B"/>
    <w:rsid w:val="06761B94"/>
    <w:rsid w:val="06D66953"/>
    <w:rsid w:val="06E23CE3"/>
    <w:rsid w:val="06ED4932"/>
    <w:rsid w:val="06F256D4"/>
    <w:rsid w:val="073065CD"/>
    <w:rsid w:val="077F5AF0"/>
    <w:rsid w:val="079B25E0"/>
    <w:rsid w:val="079C3C29"/>
    <w:rsid w:val="07CD3ACA"/>
    <w:rsid w:val="07F2003D"/>
    <w:rsid w:val="082F4AD6"/>
    <w:rsid w:val="083A3ED3"/>
    <w:rsid w:val="08654DB5"/>
    <w:rsid w:val="092B1ABD"/>
    <w:rsid w:val="09341D69"/>
    <w:rsid w:val="093A43CC"/>
    <w:rsid w:val="095437B6"/>
    <w:rsid w:val="0A081AFF"/>
    <w:rsid w:val="0A4344E2"/>
    <w:rsid w:val="0AE77E64"/>
    <w:rsid w:val="0B234FDB"/>
    <w:rsid w:val="0B325009"/>
    <w:rsid w:val="0B567942"/>
    <w:rsid w:val="0B7A17BD"/>
    <w:rsid w:val="0BE1258C"/>
    <w:rsid w:val="0BFC277F"/>
    <w:rsid w:val="0C160487"/>
    <w:rsid w:val="0C5B016C"/>
    <w:rsid w:val="0C9C49CB"/>
    <w:rsid w:val="0D592E49"/>
    <w:rsid w:val="0D892AC2"/>
    <w:rsid w:val="0DA62447"/>
    <w:rsid w:val="0DD63D0F"/>
    <w:rsid w:val="0DDF018D"/>
    <w:rsid w:val="0DE13B50"/>
    <w:rsid w:val="0E215936"/>
    <w:rsid w:val="0E8C10B1"/>
    <w:rsid w:val="0F5B5D0F"/>
    <w:rsid w:val="0FC13CBA"/>
    <w:rsid w:val="10053B5E"/>
    <w:rsid w:val="10162A08"/>
    <w:rsid w:val="10280789"/>
    <w:rsid w:val="10441137"/>
    <w:rsid w:val="10855BDB"/>
    <w:rsid w:val="10950FAE"/>
    <w:rsid w:val="10DC3F25"/>
    <w:rsid w:val="10E5050E"/>
    <w:rsid w:val="10F112B0"/>
    <w:rsid w:val="11512579"/>
    <w:rsid w:val="116D2829"/>
    <w:rsid w:val="11705D5E"/>
    <w:rsid w:val="11EC1C76"/>
    <w:rsid w:val="12AA10F1"/>
    <w:rsid w:val="12EA2847"/>
    <w:rsid w:val="12F04814"/>
    <w:rsid w:val="12F75BD5"/>
    <w:rsid w:val="130D0161"/>
    <w:rsid w:val="13133CDF"/>
    <w:rsid w:val="13223BB5"/>
    <w:rsid w:val="136F05CC"/>
    <w:rsid w:val="13AA26D3"/>
    <w:rsid w:val="14027C72"/>
    <w:rsid w:val="143350B5"/>
    <w:rsid w:val="145057C4"/>
    <w:rsid w:val="1453176F"/>
    <w:rsid w:val="14D964F6"/>
    <w:rsid w:val="15400323"/>
    <w:rsid w:val="155F20DA"/>
    <w:rsid w:val="159D17ED"/>
    <w:rsid w:val="16254A61"/>
    <w:rsid w:val="163B18B1"/>
    <w:rsid w:val="166273AC"/>
    <w:rsid w:val="166F38F8"/>
    <w:rsid w:val="16B373AE"/>
    <w:rsid w:val="16C60CA0"/>
    <w:rsid w:val="16E962B6"/>
    <w:rsid w:val="16F27362"/>
    <w:rsid w:val="17191A16"/>
    <w:rsid w:val="175B6528"/>
    <w:rsid w:val="178142BB"/>
    <w:rsid w:val="17985FF3"/>
    <w:rsid w:val="180858B8"/>
    <w:rsid w:val="1865110E"/>
    <w:rsid w:val="18B8238F"/>
    <w:rsid w:val="18C235A3"/>
    <w:rsid w:val="190434D5"/>
    <w:rsid w:val="19294E75"/>
    <w:rsid w:val="193B777F"/>
    <w:rsid w:val="19D158B6"/>
    <w:rsid w:val="19FA13E8"/>
    <w:rsid w:val="1A4210E4"/>
    <w:rsid w:val="1A4221AD"/>
    <w:rsid w:val="1A4659E0"/>
    <w:rsid w:val="1A68555B"/>
    <w:rsid w:val="1AC92B69"/>
    <w:rsid w:val="1B1C6F45"/>
    <w:rsid w:val="1B1D66B9"/>
    <w:rsid w:val="1B311BC4"/>
    <w:rsid w:val="1B330E9B"/>
    <w:rsid w:val="1B383B4D"/>
    <w:rsid w:val="1B7678DD"/>
    <w:rsid w:val="1B8B0927"/>
    <w:rsid w:val="1BC62DCD"/>
    <w:rsid w:val="1C0D4CD7"/>
    <w:rsid w:val="1C170349"/>
    <w:rsid w:val="1C473449"/>
    <w:rsid w:val="1CCD3D32"/>
    <w:rsid w:val="1CDF6E16"/>
    <w:rsid w:val="1CF57F21"/>
    <w:rsid w:val="1CFE6CEF"/>
    <w:rsid w:val="1D043043"/>
    <w:rsid w:val="1D3055B3"/>
    <w:rsid w:val="1D44084F"/>
    <w:rsid w:val="1D4F61B9"/>
    <w:rsid w:val="1D813C80"/>
    <w:rsid w:val="1D8D1E70"/>
    <w:rsid w:val="1D9E4ED3"/>
    <w:rsid w:val="1DC91AFC"/>
    <w:rsid w:val="1DE4122C"/>
    <w:rsid w:val="1E266946"/>
    <w:rsid w:val="1E2E7D5F"/>
    <w:rsid w:val="1E562625"/>
    <w:rsid w:val="1EE069AF"/>
    <w:rsid w:val="1F185990"/>
    <w:rsid w:val="1F344F6B"/>
    <w:rsid w:val="1F656BC0"/>
    <w:rsid w:val="1F8262F1"/>
    <w:rsid w:val="1F90634B"/>
    <w:rsid w:val="1FA94384"/>
    <w:rsid w:val="200476B5"/>
    <w:rsid w:val="200C7170"/>
    <w:rsid w:val="2011674C"/>
    <w:rsid w:val="202A765B"/>
    <w:rsid w:val="20631369"/>
    <w:rsid w:val="20B10613"/>
    <w:rsid w:val="20DD15E5"/>
    <w:rsid w:val="21316BD4"/>
    <w:rsid w:val="2190365E"/>
    <w:rsid w:val="21A01596"/>
    <w:rsid w:val="21B20476"/>
    <w:rsid w:val="220E687B"/>
    <w:rsid w:val="221E4212"/>
    <w:rsid w:val="229F2A88"/>
    <w:rsid w:val="22AE3822"/>
    <w:rsid w:val="22C83B2B"/>
    <w:rsid w:val="22CC008C"/>
    <w:rsid w:val="22E571F3"/>
    <w:rsid w:val="22E744D4"/>
    <w:rsid w:val="23473AF5"/>
    <w:rsid w:val="2383711E"/>
    <w:rsid w:val="24075923"/>
    <w:rsid w:val="2416658C"/>
    <w:rsid w:val="2465248C"/>
    <w:rsid w:val="24C10BC5"/>
    <w:rsid w:val="24D52FE3"/>
    <w:rsid w:val="24DA2E40"/>
    <w:rsid w:val="24EC2AE1"/>
    <w:rsid w:val="250453BE"/>
    <w:rsid w:val="25137802"/>
    <w:rsid w:val="25181676"/>
    <w:rsid w:val="252451FC"/>
    <w:rsid w:val="254D3E0E"/>
    <w:rsid w:val="255B2F57"/>
    <w:rsid w:val="25745952"/>
    <w:rsid w:val="257C5509"/>
    <w:rsid w:val="258D283B"/>
    <w:rsid w:val="25B61DD0"/>
    <w:rsid w:val="25D11103"/>
    <w:rsid w:val="25DE1840"/>
    <w:rsid w:val="26335498"/>
    <w:rsid w:val="26435665"/>
    <w:rsid w:val="26490DAB"/>
    <w:rsid w:val="264B4D7A"/>
    <w:rsid w:val="26B32870"/>
    <w:rsid w:val="26D30EAF"/>
    <w:rsid w:val="26D37A2D"/>
    <w:rsid w:val="26D5062E"/>
    <w:rsid w:val="26E90325"/>
    <w:rsid w:val="26F26BF4"/>
    <w:rsid w:val="273B6B9C"/>
    <w:rsid w:val="27D0342A"/>
    <w:rsid w:val="27DD0D39"/>
    <w:rsid w:val="27EB7D54"/>
    <w:rsid w:val="288325A9"/>
    <w:rsid w:val="28B67E77"/>
    <w:rsid w:val="28C00642"/>
    <w:rsid w:val="28EF1877"/>
    <w:rsid w:val="2943065A"/>
    <w:rsid w:val="294F5ACD"/>
    <w:rsid w:val="296E60BD"/>
    <w:rsid w:val="2976597E"/>
    <w:rsid w:val="298E38FB"/>
    <w:rsid w:val="299A0006"/>
    <w:rsid w:val="29FD638B"/>
    <w:rsid w:val="2A3B3997"/>
    <w:rsid w:val="2A884BD1"/>
    <w:rsid w:val="2A9F1C41"/>
    <w:rsid w:val="2ACD18AF"/>
    <w:rsid w:val="2AE31C2A"/>
    <w:rsid w:val="2AEC746A"/>
    <w:rsid w:val="2AF05EF0"/>
    <w:rsid w:val="2AF4778E"/>
    <w:rsid w:val="2B0F6376"/>
    <w:rsid w:val="2B2820D3"/>
    <w:rsid w:val="2B5534AE"/>
    <w:rsid w:val="2BE52B49"/>
    <w:rsid w:val="2BF53CA3"/>
    <w:rsid w:val="2C02340F"/>
    <w:rsid w:val="2C142F0E"/>
    <w:rsid w:val="2C5030EA"/>
    <w:rsid w:val="2C507C88"/>
    <w:rsid w:val="2C523A2C"/>
    <w:rsid w:val="2C5330B6"/>
    <w:rsid w:val="2C8B3FEE"/>
    <w:rsid w:val="2CD53DC4"/>
    <w:rsid w:val="2CF40FDB"/>
    <w:rsid w:val="2CFD6DC5"/>
    <w:rsid w:val="2D2229F0"/>
    <w:rsid w:val="2D333DC9"/>
    <w:rsid w:val="2D422A29"/>
    <w:rsid w:val="2D613355"/>
    <w:rsid w:val="2D785779"/>
    <w:rsid w:val="2D813D46"/>
    <w:rsid w:val="2DA62684"/>
    <w:rsid w:val="2DC35332"/>
    <w:rsid w:val="2DC53663"/>
    <w:rsid w:val="2DCA4448"/>
    <w:rsid w:val="2DFD28ED"/>
    <w:rsid w:val="2E114AFB"/>
    <w:rsid w:val="2E186047"/>
    <w:rsid w:val="2E646148"/>
    <w:rsid w:val="2E687A99"/>
    <w:rsid w:val="2E7E2FE0"/>
    <w:rsid w:val="2EC3289D"/>
    <w:rsid w:val="2EEC3191"/>
    <w:rsid w:val="2F1B0988"/>
    <w:rsid w:val="2F307665"/>
    <w:rsid w:val="2F333B94"/>
    <w:rsid w:val="2F4448E2"/>
    <w:rsid w:val="2FAF45CB"/>
    <w:rsid w:val="2FB27C17"/>
    <w:rsid w:val="2FE86350"/>
    <w:rsid w:val="30191A45"/>
    <w:rsid w:val="30986123"/>
    <w:rsid w:val="30AC10D7"/>
    <w:rsid w:val="30D521E8"/>
    <w:rsid w:val="31723B02"/>
    <w:rsid w:val="317B7E04"/>
    <w:rsid w:val="31B60A4A"/>
    <w:rsid w:val="31C84F69"/>
    <w:rsid w:val="31D570BF"/>
    <w:rsid w:val="32591705"/>
    <w:rsid w:val="326873E7"/>
    <w:rsid w:val="326A228A"/>
    <w:rsid w:val="326B14AC"/>
    <w:rsid w:val="326C21C7"/>
    <w:rsid w:val="327A771B"/>
    <w:rsid w:val="328C626F"/>
    <w:rsid w:val="330169A7"/>
    <w:rsid w:val="331D645F"/>
    <w:rsid w:val="33341BE3"/>
    <w:rsid w:val="337E2707"/>
    <w:rsid w:val="33AB2871"/>
    <w:rsid w:val="33C57CBE"/>
    <w:rsid w:val="33E54BC0"/>
    <w:rsid w:val="340D683B"/>
    <w:rsid w:val="346239BA"/>
    <w:rsid w:val="34930ECF"/>
    <w:rsid w:val="34AB1287"/>
    <w:rsid w:val="34AD40BB"/>
    <w:rsid w:val="34D843C0"/>
    <w:rsid w:val="35314F0C"/>
    <w:rsid w:val="354C1AA5"/>
    <w:rsid w:val="357C189A"/>
    <w:rsid w:val="35A3146B"/>
    <w:rsid w:val="35D6301D"/>
    <w:rsid w:val="35FF3BF6"/>
    <w:rsid w:val="36377FD7"/>
    <w:rsid w:val="3674754B"/>
    <w:rsid w:val="36B55BD1"/>
    <w:rsid w:val="36C377E6"/>
    <w:rsid w:val="36E42DAC"/>
    <w:rsid w:val="36E95086"/>
    <w:rsid w:val="373231E3"/>
    <w:rsid w:val="37726590"/>
    <w:rsid w:val="379320DC"/>
    <w:rsid w:val="3793297C"/>
    <w:rsid w:val="379C086E"/>
    <w:rsid w:val="37E35407"/>
    <w:rsid w:val="38077679"/>
    <w:rsid w:val="3809065D"/>
    <w:rsid w:val="3828175A"/>
    <w:rsid w:val="38A81BB8"/>
    <w:rsid w:val="38B957C9"/>
    <w:rsid w:val="38BD6B4F"/>
    <w:rsid w:val="38CF2EE1"/>
    <w:rsid w:val="392133B0"/>
    <w:rsid w:val="39660A78"/>
    <w:rsid w:val="39812B34"/>
    <w:rsid w:val="39BB7C75"/>
    <w:rsid w:val="3A696735"/>
    <w:rsid w:val="3A6B56C1"/>
    <w:rsid w:val="3A8827B8"/>
    <w:rsid w:val="3AC15774"/>
    <w:rsid w:val="3AC63721"/>
    <w:rsid w:val="3AF92B9E"/>
    <w:rsid w:val="3B4D391D"/>
    <w:rsid w:val="3B927489"/>
    <w:rsid w:val="3BC4735F"/>
    <w:rsid w:val="3BC84EC4"/>
    <w:rsid w:val="3BCB486B"/>
    <w:rsid w:val="3BDB4052"/>
    <w:rsid w:val="3BDD3F04"/>
    <w:rsid w:val="3C0B4296"/>
    <w:rsid w:val="3C2D2EEA"/>
    <w:rsid w:val="3C4915A0"/>
    <w:rsid w:val="3CC73BA1"/>
    <w:rsid w:val="3CE02CFE"/>
    <w:rsid w:val="3D175DA7"/>
    <w:rsid w:val="3E6F58B3"/>
    <w:rsid w:val="3E7767AB"/>
    <w:rsid w:val="3E8B57F6"/>
    <w:rsid w:val="3E9B316E"/>
    <w:rsid w:val="3EAA2D6C"/>
    <w:rsid w:val="3EC5537B"/>
    <w:rsid w:val="3EF408BD"/>
    <w:rsid w:val="3EFE3EEB"/>
    <w:rsid w:val="3F2B6AF0"/>
    <w:rsid w:val="3F444485"/>
    <w:rsid w:val="3FF34060"/>
    <w:rsid w:val="3FFB532F"/>
    <w:rsid w:val="3FFE2CB2"/>
    <w:rsid w:val="40162FF0"/>
    <w:rsid w:val="4017299A"/>
    <w:rsid w:val="405373A7"/>
    <w:rsid w:val="406C7CA4"/>
    <w:rsid w:val="40B94356"/>
    <w:rsid w:val="40C15F0C"/>
    <w:rsid w:val="40D851FA"/>
    <w:rsid w:val="40ED6D01"/>
    <w:rsid w:val="4143695C"/>
    <w:rsid w:val="41674CF9"/>
    <w:rsid w:val="418268A4"/>
    <w:rsid w:val="42B87EDF"/>
    <w:rsid w:val="42D719F1"/>
    <w:rsid w:val="433B01F8"/>
    <w:rsid w:val="43642937"/>
    <w:rsid w:val="437F2B97"/>
    <w:rsid w:val="43802B3B"/>
    <w:rsid w:val="43B7529F"/>
    <w:rsid w:val="43D85116"/>
    <w:rsid w:val="441822E7"/>
    <w:rsid w:val="442F145E"/>
    <w:rsid w:val="447F4F48"/>
    <w:rsid w:val="44D22496"/>
    <w:rsid w:val="44DA134B"/>
    <w:rsid w:val="450331CB"/>
    <w:rsid w:val="4592558C"/>
    <w:rsid w:val="45B44292"/>
    <w:rsid w:val="45D87C4F"/>
    <w:rsid w:val="45DE0121"/>
    <w:rsid w:val="461036EB"/>
    <w:rsid w:val="461F1138"/>
    <w:rsid w:val="46202BE1"/>
    <w:rsid w:val="46893028"/>
    <w:rsid w:val="468C4B23"/>
    <w:rsid w:val="469230CF"/>
    <w:rsid w:val="469B2FFF"/>
    <w:rsid w:val="46A20BA6"/>
    <w:rsid w:val="46A41C10"/>
    <w:rsid w:val="47012CC1"/>
    <w:rsid w:val="47334723"/>
    <w:rsid w:val="476870E2"/>
    <w:rsid w:val="47925F0D"/>
    <w:rsid w:val="479F0FFE"/>
    <w:rsid w:val="479F26D7"/>
    <w:rsid w:val="479F3094"/>
    <w:rsid w:val="47AB5077"/>
    <w:rsid w:val="48432E90"/>
    <w:rsid w:val="484A5C83"/>
    <w:rsid w:val="485B09F4"/>
    <w:rsid w:val="485D23E1"/>
    <w:rsid w:val="48C27AE1"/>
    <w:rsid w:val="48ED4849"/>
    <w:rsid w:val="48F055E1"/>
    <w:rsid w:val="492E1783"/>
    <w:rsid w:val="4947632A"/>
    <w:rsid w:val="495A37CD"/>
    <w:rsid w:val="4991398B"/>
    <w:rsid w:val="49BB1BB7"/>
    <w:rsid w:val="49C414E3"/>
    <w:rsid w:val="49CC64AC"/>
    <w:rsid w:val="49EF58A8"/>
    <w:rsid w:val="4A193B6D"/>
    <w:rsid w:val="4A2E4ECB"/>
    <w:rsid w:val="4A4D2D15"/>
    <w:rsid w:val="4AA1655C"/>
    <w:rsid w:val="4AED54C8"/>
    <w:rsid w:val="4AF23F2F"/>
    <w:rsid w:val="4AFB0155"/>
    <w:rsid w:val="4B436A33"/>
    <w:rsid w:val="4B5C7416"/>
    <w:rsid w:val="4B92424D"/>
    <w:rsid w:val="4BB84847"/>
    <w:rsid w:val="4BBB4DDF"/>
    <w:rsid w:val="4BD70A02"/>
    <w:rsid w:val="4BF50A61"/>
    <w:rsid w:val="4BFF04FD"/>
    <w:rsid w:val="4C0E6E26"/>
    <w:rsid w:val="4C0F1DDA"/>
    <w:rsid w:val="4C862548"/>
    <w:rsid w:val="4CB45D69"/>
    <w:rsid w:val="4CC8187F"/>
    <w:rsid w:val="4D1A758C"/>
    <w:rsid w:val="4D2A3371"/>
    <w:rsid w:val="4D3D3E4A"/>
    <w:rsid w:val="4D427ECD"/>
    <w:rsid w:val="4D477799"/>
    <w:rsid w:val="4E0910F4"/>
    <w:rsid w:val="4E177BCF"/>
    <w:rsid w:val="4E2732C6"/>
    <w:rsid w:val="4E516081"/>
    <w:rsid w:val="4ED46E48"/>
    <w:rsid w:val="4F7A3E56"/>
    <w:rsid w:val="4FAC51F7"/>
    <w:rsid w:val="4FC926E8"/>
    <w:rsid w:val="4FD40481"/>
    <w:rsid w:val="50230B12"/>
    <w:rsid w:val="503D43F5"/>
    <w:rsid w:val="50717435"/>
    <w:rsid w:val="50D2312A"/>
    <w:rsid w:val="510160AF"/>
    <w:rsid w:val="5102372B"/>
    <w:rsid w:val="51145BE4"/>
    <w:rsid w:val="51440699"/>
    <w:rsid w:val="51861437"/>
    <w:rsid w:val="51EA76AB"/>
    <w:rsid w:val="51EB424C"/>
    <w:rsid w:val="52261E94"/>
    <w:rsid w:val="52356A1C"/>
    <w:rsid w:val="529B1FC1"/>
    <w:rsid w:val="52AE46BB"/>
    <w:rsid w:val="52B37355"/>
    <w:rsid w:val="52C37623"/>
    <w:rsid w:val="53D533C6"/>
    <w:rsid w:val="545F5C39"/>
    <w:rsid w:val="546B1248"/>
    <w:rsid w:val="54D333B4"/>
    <w:rsid w:val="54EC2FC8"/>
    <w:rsid w:val="552A3FF3"/>
    <w:rsid w:val="552D1A1F"/>
    <w:rsid w:val="5533507F"/>
    <w:rsid w:val="553B6237"/>
    <w:rsid w:val="553E6577"/>
    <w:rsid w:val="5555739E"/>
    <w:rsid w:val="55A16B67"/>
    <w:rsid w:val="55BB408B"/>
    <w:rsid w:val="56273743"/>
    <w:rsid w:val="5628714B"/>
    <w:rsid w:val="563170F6"/>
    <w:rsid w:val="56484F3F"/>
    <w:rsid w:val="568C598D"/>
    <w:rsid w:val="569E15B2"/>
    <w:rsid w:val="56CF5C70"/>
    <w:rsid w:val="56E95231"/>
    <w:rsid w:val="571526B6"/>
    <w:rsid w:val="5716558B"/>
    <w:rsid w:val="57A83076"/>
    <w:rsid w:val="57E15F90"/>
    <w:rsid w:val="58273B84"/>
    <w:rsid w:val="58745418"/>
    <w:rsid w:val="58913FAE"/>
    <w:rsid w:val="58997701"/>
    <w:rsid w:val="58AC7CDB"/>
    <w:rsid w:val="58F52699"/>
    <w:rsid w:val="59102D85"/>
    <w:rsid w:val="592678F8"/>
    <w:rsid w:val="594403C3"/>
    <w:rsid w:val="5963770A"/>
    <w:rsid w:val="59965D30"/>
    <w:rsid w:val="59FE1985"/>
    <w:rsid w:val="5A246023"/>
    <w:rsid w:val="5A4F1B6F"/>
    <w:rsid w:val="5A844C36"/>
    <w:rsid w:val="5AA738E0"/>
    <w:rsid w:val="5AA93841"/>
    <w:rsid w:val="5AAE26E8"/>
    <w:rsid w:val="5AB67C78"/>
    <w:rsid w:val="5AC567C3"/>
    <w:rsid w:val="5B025823"/>
    <w:rsid w:val="5B070568"/>
    <w:rsid w:val="5B231DD3"/>
    <w:rsid w:val="5B361442"/>
    <w:rsid w:val="5BA364E3"/>
    <w:rsid w:val="5BAA161F"/>
    <w:rsid w:val="5BB43E59"/>
    <w:rsid w:val="5C30098F"/>
    <w:rsid w:val="5C3E312D"/>
    <w:rsid w:val="5C524CBC"/>
    <w:rsid w:val="5C6519E1"/>
    <w:rsid w:val="5C9B0909"/>
    <w:rsid w:val="5CA82D62"/>
    <w:rsid w:val="5CF977E4"/>
    <w:rsid w:val="5DA91D02"/>
    <w:rsid w:val="5DD1739A"/>
    <w:rsid w:val="5DF30E44"/>
    <w:rsid w:val="5DF57E06"/>
    <w:rsid w:val="5E040D28"/>
    <w:rsid w:val="5E2F697B"/>
    <w:rsid w:val="5EB32453"/>
    <w:rsid w:val="5EDC0A98"/>
    <w:rsid w:val="5EE9126B"/>
    <w:rsid w:val="5F1E2906"/>
    <w:rsid w:val="5F5A14E4"/>
    <w:rsid w:val="5F8B3515"/>
    <w:rsid w:val="5F911D08"/>
    <w:rsid w:val="5FA26232"/>
    <w:rsid w:val="5FD26E00"/>
    <w:rsid w:val="5FFE7254"/>
    <w:rsid w:val="6036191B"/>
    <w:rsid w:val="6080593C"/>
    <w:rsid w:val="60A164F8"/>
    <w:rsid w:val="60EC4243"/>
    <w:rsid w:val="610C768B"/>
    <w:rsid w:val="611E3BC3"/>
    <w:rsid w:val="61A20EEB"/>
    <w:rsid w:val="621213E3"/>
    <w:rsid w:val="622C4D7A"/>
    <w:rsid w:val="6249466A"/>
    <w:rsid w:val="62A0094C"/>
    <w:rsid w:val="62B00BD6"/>
    <w:rsid w:val="62B03FC7"/>
    <w:rsid w:val="63122A81"/>
    <w:rsid w:val="63281D72"/>
    <w:rsid w:val="635D78BF"/>
    <w:rsid w:val="637F767D"/>
    <w:rsid w:val="63831EBB"/>
    <w:rsid w:val="63945B54"/>
    <w:rsid w:val="63D00091"/>
    <w:rsid w:val="63D35447"/>
    <w:rsid w:val="646E572C"/>
    <w:rsid w:val="64CA16A8"/>
    <w:rsid w:val="65033926"/>
    <w:rsid w:val="655107C0"/>
    <w:rsid w:val="65515201"/>
    <w:rsid w:val="6553608E"/>
    <w:rsid w:val="65AD704F"/>
    <w:rsid w:val="65E10B1A"/>
    <w:rsid w:val="65F0031D"/>
    <w:rsid w:val="662D3578"/>
    <w:rsid w:val="662D3DF8"/>
    <w:rsid w:val="6657212D"/>
    <w:rsid w:val="66BC2970"/>
    <w:rsid w:val="671309C0"/>
    <w:rsid w:val="673A461B"/>
    <w:rsid w:val="67547B33"/>
    <w:rsid w:val="677376B1"/>
    <w:rsid w:val="678825F0"/>
    <w:rsid w:val="67DA7730"/>
    <w:rsid w:val="68525518"/>
    <w:rsid w:val="68A43B13"/>
    <w:rsid w:val="68B84C97"/>
    <w:rsid w:val="68C6712B"/>
    <w:rsid w:val="68D67CD0"/>
    <w:rsid w:val="68F96368"/>
    <w:rsid w:val="695E7EED"/>
    <w:rsid w:val="697051F4"/>
    <w:rsid w:val="698A3417"/>
    <w:rsid w:val="698A7F9B"/>
    <w:rsid w:val="6A2F02A7"/>
    <w:rsid w:val="6A891B7D"/>
    <w:rsid w:val="6AE80D1B"/>
    <w:rsid w:val="6AF01018"/>
    <w:rsid w:val="6B1B42E7"/>
    <w:rsid w:val="6B3E6DEB"/>
    <w:rsid w:val="6B797CD5"/>
    <w:rsid w:val="6B957D75"/>
    <w:rsid w:val="6C114F9C"/>
    <w:rsid w:val="6C162B3D"/>
    <w:rsid w:val="6C1E65E6"/>
    <w:rsid w:val="6C5B777F"/>
    <w:rsid w:val="6CB178DD"/>
    <w:rsid w:val="6CCD25E3"/>
    <w:rsid w:val="6DB70F9A"/>
    <w:rsid w:val="6DC72505"/>
    <w:rsid w:val="6DD401C7"/>
    <w:rsid w:val="6E1119D2"/>
    <w:rsid w:val="6E164559"/>
    <w:rsid w:val="6E4E2C78"/>
    <w:rsid w:val="6E553DBA"/>
    <w:rsid w:val="6E5C2DDE"/>
    <w:rsid w:val="6EA1705B"/>
    <w:rsid w:val="6EF87C4E"/>
    <w:rsid w:val="6F377073"/>
    <w:rsid w:val="6F415EB0"/>
    <w:rsid w:val="6F525231"/>
    <w:rsid w:val="6FD3304A"/>
    <w:rsid w:val="6FDB67B6"/>
    <w:rsid w:val="7004340E"/>
    <w:rsid w:val="7096416C"/>
    <w:rsid w:val="70A767C2"/>
    <w:rsid w:val="70B4267B"/>
    <w:rsid w:val="70F4076A"/>
    <w:rsid w:val="71166FD6"/>
    <w:rsid w:val="713D0E74"/>
    <w:rsid w:val="714425C5"/>
    <w:rsid w:val="719646C8"/>
    <w:rsid w:val="71A87E6C"/>
    <w:rsid w:val="71EB0920"/>
    <w:rsid w:val="723B0003"/>
    <w:rsid w:val="72B6712F"/>
    <w:rsid w:val="72FD01C4"/>
    <w:rsid w:val="730C7C43"/>
    <w:rsid w:val="732B3227"/>
    <w:rsid w:val="73413A65"/>
    <w:rsid w:val="73B70621"/>
    <w:rsid w:val="73B76A1D"/>
    <w:rsid w:val="73D61251"/>
    <w:rsid w:val="73EC10D8"/>
    <w:rsid w:val="73EF6F5E"/>
    <w:rsid w:val="73FD1DB1"/>
    <w:rsid w:val="74091890"/>
    <w:rsid w:val="74854F64"/>
    <w:rsid w:val="748C1DB2"/>
    <w:rsid w:val="748D3FC4"/>
    <w:rsid w:val="75074A9D"/>
    <w:rsid w:val="75160B29"/>
    <w:rsid w:val="75373BB3"/>
    <w:rsid w:val="75A81516"/>
    <w:rsid w:val="762941E6"/>
    <w:rsid w:val="766703E1"/>
    <w:rsid w:val="767B10C4"/>
    <w:rsid w:val="76DC61E3"/>
    <w:rsid w:val="76E67110"/>
    <w:rsid w:val="76EB14A8"/>
    <w:rsid w:val="771D4568"/>
    <w:rsid w:val="7723474A"/>
    <w:rsid w:val="77465E02"/>
    <w:rsid w:val="77754D7F"/>
    <w:rsid w:val="77DA2E34"/>
    <w:rsid w:val="781E0F73"/>
    <w:rsid w:val="78262AEB"/>
    <w:rsid w:val="783418D1"/>
    <w:rsid w:val="7842267B"/>
    <w:rsid w:val="785A3DFC"/>
    <w:rsid w:val="786F4898"/>
    <w:rsid w:val="78806CC2"/>
    <w:rsid w:val="78D9133E"/>
    <w:rsid w:val="78DD04EB"/>
    <w:rsid w:val="79007C7F"/>
    <w:rsid w:val="798E2E18"/>
    <w:rsid w:val="79B16B5D"/>
    <w:rsid w:val="79C41974"/>
    <w:rsid w:val="79C97979"/>
    <w:rsid w:val="7A157541"/>
    <w:rsid w:val="7A253E5D"/>
    <w:rsid w:val="7A300A98"/>
    <w:rsid w:val="7A8A042D"/>
    <w:rsid w:val="7AC57348"/>
    <w:rsid w:val="7AC95598"/>
    <w:rsid w:val="7B007056"/>
    <w:rsid w:val="7B0B45B2"/>
    <w:rsid w:val="7B2C4DFB"/>
    <w:rsid w:val="7B364C78"/>
    <w:rsid w:val="7B437705"/>
    <w:rsid w:val="7B7C575B"/>
    <w:rsid w:val="7B853B4A"/>
    <w:rsid w:val="7B97060F"/>
    <w:rsid w:val="7BC6109E"/>
    <w:rsid w:val="7C432CBE"/>
    <w:rsid w:val="7CC60687"/>
    <w:rsid w:val="7D3D1192"/>
    <w:rsid w:val="7D761851"/>
    <w:rsid w:val="7DAA424C"/>
    <w:rsid w:val="7DBE050E"/>
    <w:rsid w:val="7DEF7F3E"/>
    <w:rsid w:val="7E325778"/>
    <w:rsid w:val="7E3F7C92"/>
    <w:rsid w:val="7E4030DF"/>
    <w:rsid w:val="7E41428D"/>
    <w:rsid w:val="7E6C28CF"/>
    <w:rsid w:val="7EAE4BA1"/>
    <w:rsid w:val="7EB663A9"/>
    <w:rsid w:val="7EDC22EA"/>
    <w:rsid w:val="7EE1505B"/>
    <w:rsid w:val="7EE22BD9"/>
    <w:rsid w:val="7EEF3669"/>
    <w:rsid w:val="7F3F0002"/>
    <w:rsid w:val="7F3F6051"/>
    <w:rsid w:val="7FC2212F"/>
    <w:rsid w:val="7FC8027F"/>
    <w:rsid w:val="7FF15858"/>
    <w:rsid w:val="7FF21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rFonts w:ascii="Calibri" w:eastAsia="Calibri"/>
      <w:b/>
      <w:bCs/>
    </w:rPr>
  </w:style>
  <w:style w:type="paragraph" w:styleId="5">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8">
    <w:name w:val="heading 5"/>
    <w:basedOn w:val="1"/>
    <w:next w:val="1"/>
    <w:qFormat/>
    <w:uiPriority w:val="0"/>
    <w:pPr>
      <w:keepNext/>
      <w:keepLines/>
      <w:spacing w:before="280" w:after="290" w:line="372" w:lineRule="auto"/>
      <w:outlineLvl w:val="4"/>
    </w:pPr>
    <w:rPr>
      <w:rFonts w:ascii="仿宋_GB2312" w:hAnsi="Tahoma"/>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autoSpaceDE w:val="0"/>
      <w:autoSpaceDN w:val="0"/>
      <w:adjustRightInd w:val="0"/>
      <w:ind w:firstLine="420" w:firstLineChars="100"/>
      <w:jc w:val="left"/>
    </w:pPr>
    <w:rPr>
      <w:kern w:val="0"/>
      <w:sz w:val="20"/>
      <w:szCs w:val="20"/>
    </w:rPr>
  </w:style>
  <w:style w:type="paragraph" w:styleId="3">
    <w:name w:val="Body Text"/>
    <w:basedOn w:val="1"/>
    <w:next w:val="2"/>
    <w:qFormat/>
    <w:uiPriority w:val="0"/>
    <w:pPr>
      <w:spacing w:after="120"/>
    </w:pPr>
    <w:rPr>
      <w:rFonts w:eastAsia="Cambria"/>
    </w:rPr>
  </w:style>
  <w:style w:type="paragraph" w:styleId="9">
    <w:name w:val="E-mail Signature"/>
    <w:basedOn w:val="1"/>
    <w:qFormat/>
    <w:uiPriority w:val="0"/>
  </w:style>
  <w:style w:type="paragraph" w:styleId="10">
    <w:name w:val="Normal Indent"/>
    <w:basedOn w:val="1"/>
    <w:qFormat/>
    <w:uiPriority w:val="0"/>
    <w:pPr>
      <w:adjustRightInd w:val="0"/>
      <w:spacing w:line="312" w:lineRule="atLeast"/>
      <w:ind w:firstLine="420"/>
      <w:textAlignment w:val="baseline"/>
    </w:pPr>
    <w:rPr>
      <w:rFonts w:eastAsia="Cambria"/>
      <w:kern w:val="0"/>
      <w:szCs w:val="20"/>
    </w:rPr>
  </w:style>
  <w:style w:type="paragraph" w:styleId="11">
    <w:name w:val="annotation text"/>
    <w:basedOn w:val="1"/>
    <w:link w:val="43"/>
    <w:qFormat/>
    <w:uiPriority w:val="0"/>
    <w:pPr>
      <w:jc w:val="left"/>
    </w:pPr>
  </w:style>
  <w:style w:type="paragraph" w:styleId="12">
    <w:name w:val="Body Text Indent"/>
    <w:basedOn w:val="1"/>
    <w:next w:val="1"/>
    <w:qFormat/>
    <w:uiPriority w:val="0"/>
    <w:pPr>
      <w:ind w:left="200" w:hanging="200" w:hangingChars="200"/>
    </w:pPr>
    <w:rPr>
      <w:sz w:val="24"/>
    </w:rPr>
  </w:style>
  <w:style w:type="paragraph" w:styleId="13">
    <w:name w:val="Block Text"/>
    <w:basedOn w:val="1"/>
    <w:qFormat/>
    <w:uiPriority w:val="0"/>
    <w:pPr>
      <w:spacing w:before="156" w:after="156"/>
      <w:ind w:left="203" w:right="-11" w:hanging="203" w:hangingChars="203"/>
    </w:pPr>
    <w:rPr>
      <w:rFonts w:eastAsia="楷体_GB2312"/>
    </w:rPr>
  </w:style>
  <w:style w:type="paragraph" w:styleId="14">
    <w:name w:val="List Bullet 2"/>
    <w:basedOn w:val="1"/>
    <w:qFormat/>
    <w:uiPriority w:val="0"/>
    <w:pPr>
      <w:numPr>
        <w:ilvl w:val="0"/>
        <w:numId w:val="1"/>
      </w:numPr>
    </w:pPr>
  </w:style>
  <w:style w:type="paragraph" w:styleId="15">
    <w:name w:val="toc 3"/>
    <w:basedOn w:val="1"/>
    <w:next w:val="1"/>
    <w:qFormat/>
    <w:uiPriority w:val="0"/>
    <w:pPr>
      <w:ind w:left="840" w:leftChars="400"/>
    </w:pPr>
  </w:style>
  <w:style w:type="paragraph" w:styleId="16">
    <w:name w:val="Plain Text"/>
    <w:basedOn w:val="1"/>
    <w:next w:val="1"/>
    <w:qFormat/>
    <w:uiPriority w:val="0"/>
    <w:pPr>
      <w:widowControl/>
      <w:overflowPunct w:val="0"/>
      <w:autoSpaceDE w:val="0"/>
      <w:autoSpaceDN w:val="0"/>
      <w:adjustRightInd w:val="0"/>
      <w:jc w:val="left"/>
      <w:textAlignment w:val="baseline"/>
    </w:pPr>
    <w:rPr>
      <w:rFonts w:ascii="Cambria" w:hAnsi="隶书" w:eastAsia="Cambria"/>
      <w:kern w:val="0"/>
      <w:szCs w:val="21"/>
    </w:rPr>
  </w:style>
  <w:style w:type="paragraph" w:styleId="17">
    <w:name w:val="footer"/>
    <w:basedOn w:val="1"/>
    <w:link w:val="50"/>
    <w:qFormat/>
    <w:uiPriority w:val="99"/>
    <w:pPr>
      <w:tabs>
        <w:tab w:val="center" w:pos="4153"/>
        <w:tab w:val="right" w:pos="8306"/>
      </w:tabs>
      <w:snapToGrid w:val="0"/>
      <w:jc w:val="left"/>
    </w:pPr>
    <w:rPr>
      <w:rFonts w:eastAsia="Cambria"/>
      <w:sz w:val="18"/>
      <w:szCs w:val="18"/>
    </w:rPr>
  </w:style>
  <w:style w:type="paragraph" w:styleId="18">
    <w:name w:val="header"/>
    <w:basedOn w:val="1"/>
    <w:link w:val="51"/>
    <w:qFormat/>
    <w:uiPriority w:val="99"/>
    <w:pPr>
      <w:pBdr>
        <w:bottom w:val="single" w:color="auto" w:sz="6" w:space="1"/>
      </w:pBdr>
      <w:tabs>
        <w:tab w:val="center" w:pos="4153"/>
        <w:tab w:val="right" w:pos="8306"/>
      </w:tabs>
      <w:snapToGrid w:val="0"/>
      <w:jc w:val="center"/>
    </w:pPr>
    <w:rPr>
      <w:rFonts w:eastAsia="Cambria"/>
      <w:sz w:val="18"/>
      <w:szCs w:val="18"/>
    </w:rPr>
  </w:style>
  <w:style w:type="paragraph" w:styleId="19">
    <w:name w:val="toc 1"/>
    <w:basedOn w:val="1"/>
    <w:next w:val="1"/>
    <w:qFormat/>
    <w:uiPriority w:val="39"/>
    <w:pPr>
      <w:tabs>
        <w:tab w:val="right" w:leader="dot" w:pos="9628"/>
      </w:tabs>
      <w:spacing w:line="480" w:lineRule="auto"/>
    </w:pPr>
    <w:rPr>
      <w:rFonts w:ascii="Courier New" w:hAnsi="Courier New" w:eastAsia="仿宋_GB2312" w:cs="Courier New"/>
      <w:bCs/>
      <w:sz w:val="24"/>
    </w:rPr>
  </w:style>
  <w:style w:type="paragraph" w:styleId="20">
    <w:name w:val="toc 6"/>
    <w:basedOn w:val="1"/>
    <w:next w:val="1"/>
    <w:qFormat/>
    <w:uiPriority w:val="0"/>
    <w:pPr>
      <w:autoSpaceDE w:val="0"/>
      <w:autoSpaceDN w:val="0"/>
      <w:adjustRightInd w:val="0"/>
      <w:ind w:left="2100" w:leftChars="1000"/>
      <w:jc w:val="left"/>
    </w:pPr>
    <w:rPr>
      <w:kern w:val="0"/>
      <w:sz w:val="20"/>
      <w:szCs w:val="20"/>
    </w:rPr>
  </w:style>
  <w:style w:type="paragraph" w:styleId="21">
    <w:name w:val="toc 2"/>
    <w:basedOn w:val="1"/>
    <w:next w:val="1"/>
    <w:qFormat/>
    <w:uiPriority w:val="0"/>
    <w:pPr>
      <w:ind w:left="420" w:leftChars="200"/>
    </w:p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qFormat/>
    <w:uiPriority w:val="0"/>
    <w:pPr>
      <w:widowControl/>
      <w:spacing w:before="100" w:beforeAutospacing="1" w:after="100" w:afterAutospacing="1"/>
      <w:jc w:val="left"/>
    </w:pPr>
    <w:rPr>
      <w:rFonts w:ascii="Cambria" w:hAnsi="Cambria" w:cs="Cambria"/>
      <w:kern w:val="0"/>
      <w:sz w:val="24"/>
    </w:rPr>
  </w:style>
  <w:style w:type="paragraph" w:styleId="24">
    <w:name w:val="annotation subject"/>
    <w:basedOn w:val="11"/>
    <w:next w:val="11"/>
    <w:link w:val="44"/>
    <w:qFormat/>
    <w:uiPriority w:val="0"/>
    <w:rPr>
      <w:b/>
      <w:bCs/>
    </w:rPr>
  </w:style>
  <w:style w:type="paragraph" w:styleId="25">
    <w:name w:val="Body Text First Indent 2"/>
    <w:basedOn w:val="12"/>
    <w:next w:val="1"/>
    <w:qFormat/>
    <w:uiPriority w:val="0"/>
    <w:pPr>
      <w:adjustRightInd/>
      <w:spacing w:after="120" w:line="240" w:lineRule="auto"/>
      <w:ind w:left="420" w:leftChars="200" w:firstLine="210"/>
    </w:pPr>
    <w:rPr>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qFormat/>
    <w:uiPriority w:val="0"/>
  </w:style>
  <w:style w:type="character" w:styleId="31">
    <w:name w:val="Hyperlink"/>
    <w:qFormat/>
    <w:uiPriority w:val="99"/>
    <w:rPr>
      <w:color w:val="000000"/>
      <w:sz w:val="20"/>
      <w:szCs w:val="20"/>
      <w:u w:val="none"/>
    </w:rPr>
  </w:style>
  <w:style w:type="character" w:styleId="32">
    <w:name w:val="annotation reference"/>
    <w:basedOn w:val="28"/>
    <w:qFormat/>
    <w:uiPriority w:val="0"/>
    <w:rPr>
      <w:sz w:val="21"/>
      <w:szCs w:val="21"/>
    </w:rPr>
  </w:style>
  <w:style w:type="paragraph" w:customStyle="1" w:styleId="33">
    <w:name w:val="[Normal]"/>
    <w:qFormat/>
    <w:uiPriority w:val="0"/>
    <w:rPr>
      <w:rFonts w:ascii="宋体" w:hAnsi="宋体" w:eastAsia="宋体" w:cs="Times New Roman"/>
      <w:sz w:val="24"/>
      <w:szCs w:val="22"/>
      <w:lang w:val="zh-CN" w:eastAsia="zh-CN" w:bidi="ar-SA"/>
    </w:rPr>
  </w:style>
  <w:style w:type="paragraph" w:customStyle="1" w:styleId="3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Tahoma" w:hAnsi="Tahoma" w:eastAsia="Tahoma"/>
      <w:kern w:val="0"/>
      <w:szCs w:val="22"/>
    </w:rPr>
  </w:style>
  <w:style w:type="paragraph" w:customStyle="1" w:styleId="35">
    <w:name w:val="样式1"/>
    <w:basedOn w:val="1"/>
    <w:qFormat/>
    <w:uiPriority w:val="0"/>
    <w:rPr>
      <w:b/>
      <w:color w:val="538135"/>
      <w:sz w:val="28"/>
    </w:rPr>
  </w:style>
  <w:style w:type="character" w:customStyle="1" w:styleId="36">
    <w:name w:val="font01"/>
    <w:basedOn w:val="28"/>
    <w:qFormat/>
    <w:uiPriority w:val="0"/>
    <w:rPr>
      <w:rFonts w:hint="eastAsia" w:ascii="宋体" w:hAnsi="宋体" w:eastAsia="宋体" w:cs="宋体"/>
      <w:color w:val="000000"/>
      <w:sz w:val="22"/>
      <w:szCs w:val="22"/>
      <w:u w:val="none"/>
    </w:rPr>
  </w:style>
  <w:style w:type="paragraph" w:customStyle="1" w:styleId="37">
    <w:name w:val="Table Paragraph"/>
    <w:basedOn w:val="1"/>
    <w:qFormat/>
    <w:uiPriority w:val="0"/>
    <w:rPr>
      <w:rFonts w:ascii="宋体" w:cs="宋体"/>
      <w:lang w:val="zh-CN" w:bidi="zh-CN"/>
    </w:rPr>
  </w:style>
  <w:style w:type="paragraph" w:customStyle="1" w:styleId="3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9">
    <w:name w:val="正文_0_2"/>
    <w:qFormat/>
    <w:uiPriority w:val="0"/>
    <w:pPr>
      <w:widowControl w:val="0"/>
      <w:ind w:firstLine="560" w:firstLineChars="200"/>
      <w:jc w:val="both"/>
    </w:pPr>
    <w:rPr>
      <w:rFonts w:ascii="Calibri" w:hAnsi="Calibri" w:eastAsia="宋体" w:cs="Times New Roman"/>
      <w:kern w:val="2"/>
      <w:sz w:val="28"/>
      <w:szCs w:val="28"/>
      <w:lang w:val="en-US" w:eastAsia="zh-CN" w:bidi="ar-SA"/>
    </w:rPr>
  </w:style>
  <w:style w:type="paragraph" w:styleId="40">
    <w:name w:val="List Paragraph"/>
    <w:basedOn w:val="1"/>
    <w:qFormat/>
    <w:uiPriority w:val="99"/>
    <w:pPr>
      <w:ind w:firstLine="420" w:firstLineChars="200"/>
    </w:pPr>
  </w:style>
  <w:style w:type="paragraph" w:customStyle="1" w:styleId="41">
    <w:name w:val="列表段落1"/>
    <w:basedOn w:val="1"/>
    <w:qFormat/>
    <w:uiPriority w:val="72"/>
    <w:pPr>
      <w:ind w:left="720"/>
      <w:contextualSpacing/>
    </w:pPr>
  </w:style>
  <w:style w:type="paragraph" w:customStyle="1" w:styleId="42">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43">
    <w:name w:val="批注文字 字符"/>
    <w:basedOn w:val="28"/>
    <w:link w:val="11"/>
    <w:qFormat/>
    <w:uiPriority w:val="0"/>
    <w:rPr>
      <w:kern w:val="2"/>
      <w:sz w:val="21"/>
      <w:szCs w:val="24"/>
    </w:rPr>
  </w:style>
  <w:style w:type="character" w:customStyle="1" w:styleId="44">
    <w:name w:val="批注主题 字符"/>
    <w:basedOn w:val="43"/>
    <w:link w:val="24"/>
    <w:qFormat/>
    <w:uiPriority w:val="0"/>
    <w:rPr>
      <w:b/>
      <w:bCs/>
      <w:kern w:val="2"/>
      <w:sz w:val="21"/>
      <w:szCs w:val="24"/>
    </w:rPr>
  </w:style>
  <w:style w:type="character" w:customStyle="1" w:styleId="45">
    <w:name w:val="NormalCharacter"/>
    <w:qFormat/>
    <w:uiPriority w:val="0"/>
  </w:style>
  <w:style w:type="paragraph" w:customStyle="1" w:styleId="46">
    <w:name w:val="BodyText1I"/>
    <w:basedOn w:val="47"/>
    <w:qFormat/>
    <w:uiPriority w:val="0"/>
    <w:pPr>
      <w:ind w:firstLine="420" w:firstLineChars="100"/>
      <w:jc w:val="left"/>
    </w:pPr>
    <w:rPr>
      <w:rFonts w:ascii="仿宋_GB2312" w:hAnsi="Times New Roman"/>
      <w:b/>
      <w:kern w:val="0"/>
      <w:sz w:val="32"/>
      <w:szCs w:val="32"/>
    </w:rPr>
  </w:style>
  <w:style w:type="paragraph" w:customStyle="1" w:styleId="47">
    <w:name w:val="BodyText"/>
    <w:basedOn w:val="1"/>
    <w:next w:val="46"/>
    <w:qFormat/>
    <w:uiPriority w:val="0"/>
    <w:pPr>
      <w:spacing w:after="120"/>
    </w:pPr>
    <w:rPr>
      <w:rFonts w:ascii="Tahoma" w:hAnsi="Tahoma"/>
    </w:rPr>
  </w:style>
  <w:style w:type="paragraph" w:customStyle="1" w:styleId="48">
    <w:name w:val="表格文字"/>
    <w:basedOn w:val="16"/>
    <w:next w:val="3"/>
    <w:qFormat/>
    <w:uiPriority w:val="0"/>
    <w:pPr>
      <w:spacing w:line="420" w:lineRule="atLeast"/>
    </w:pPr>
    <w:rPr>
      <w:rFonts w:ascii="Times New Roman" w:hAnsi="Times New Roman" w:eastAsia="宋体"/>
      <w:szCs w:val="24"/>
    </w:rPr>
  </w:style>
  <w:style w:type="paragraph" w:customStyle="1" w:styleId="49">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页脚 字符"/>
    <w:basedOn w:val="28"/>
    <w:link w:val="17"/>
    <w:qFormat/>
    <w:uiPriority w:val="99"/>
    <w:rPr>
      <w:rFonts w:eastAsia="Cambria"/>
      <w:kern w:val="2"/>
      <w:sz w:val="18"/>
      <w:szCs w:val="18"/>
    </w:rPr>
  </w:style>
  <w:style w:type="character" w:customStyle="1" w:styleId="51">
    <w:name w:val="页眉 字符"/>
    <w:basedOn w:val="28"/>
    <w:link w:val="18"/>
    <w:qFormat/>
    <w:uiPriority w:val="99"/>
    <w:rPr>
      <w:rFonts w:eastAsia="Cambria"/>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27231</Words>
  <Characters>28628</Characters>
  <Lines>333</Lines>
  <Paragraphs>93</Paragraphs>
  <TotalTime>0</TotalTime>
  <ScaleCrop>false</ScaleCrop>
  <LinksUpToDate>false</LinksUpToDate>
  <CharactersWithSpaces>30297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2024-12-20T06:20:00Z</dcterms:created>
  <dc:creator>Administrator</dc:creator>
  <cp:lastModifiedBy>w®</cp:lastModifiedBy>
  <cp:lastPrinted>2025-01-10T07:55:00Z</cp:lastPrinted>
  <dcterms:modified xsi:type="dcterms:W3CDTF">2026-06-10T01:35:29Z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56230577EEBC4B5E926D5656B769172A_13</vt:lpwstr>
  </property>
  <property fmtid="{D5CDD505-2E9C-101B-9397-08002B2CF9AE}" pid="4" name="KSOTemplateDocerSaveRecord">
    <vt:lpwstr>eyJoZGlkIjoiN2YzNjBkOTgyNWQ1YTMxYzM3MzMwNWFiODNmOWIzYWMiLCJ1c2VySWQiOiI5MzM4NjQ2MTUifQ==</vt:lpwstr>
  </property>
</Properties>
</file>