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2835">
      <w:pPr>
        <w:shd w:val="clear"/>
        <w:autoSpaceDE w:val="0"/>
        <w:autoSpaceDN w:val="0"/>
        <w:spacing w:line="500" w:lineRule="atLeast"/>
        <w:jc w:val="center"/>
        <w:textAlignment w:val="bottom"/>
        <w:rPr>
          <w:rFonts w:hint="eastAsia" w:ascii="宋体" w:hAnsi="宋体" w:eastAsia="宋体" w:cs="宋体"/>
          <w:b/>
          <w:bCs/>
          <w:color w:val="auto"/>
          <w:spacing w:val="120"/>
          <w:sz w:val="72"/>
          <w:szCs w:val="72"/>
          <w:highlight w:val="none"/>
        </w:rPr>
      </w:pPr>
    </w:p>
    <w:p w14:paraId="324D3952">
      <w:pPr>
        <w:shd w:val="clear"/>
        <w:autoSpaceDE w:val="0"/>
        <w:autoSpaceDN w:val="0"/>
        <w:spacing w:line="500" w:lineRule="atLeast"/>
        <w:jc w:val="distribute"/>
        <w:textAlignment w:val="bottom"/>
        <w:rPr>
          <w:rFonts w:hint="eastAsia" w:ascii="宋体" w:hAnsi="宋体" w:eastAsia="宋体" w:cs="宋体"/>
          <w:b/>
          <w:bCs/>
          <w:color w:val="auto"/>
          <w:sz w:val="84"/>
          <w:szCs w:val="84"/>
          <w:highlight w:val="none"/>
        </w:rPr>
      </w:pPr>
      <w:r>
        <w:rPr>
          <w:rFonts w:hint="eastAsia" w:ascii="宋体" w:hAnsi="宋体" w:eastAsia="宋体" w:cs="宋体"/>
          <w:b/>
          <w:bCs/>
          <w:color w:val="auto"/>
          <w:spacing w:val="120"/>
          <w:sz w:val="84"/>
          <w:szCs w:val="84"/>
          <w:highlight w:val="none"/>
        </w:rPr>
        <w:t>温州市国有企业</w:t>
      </w:r>
    </w:p>
    <w:p w14:paraId="579CBDE1">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332D3855">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68D6D551">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14C2665C">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采 购 文 件</w:t>
      </w:r>
    </w:p>
    <w:p w14:paraId="00DD9A69">
      <w:pPr>
        <w:shd w:val="clear"/>
        <w:spacing w:line="400" w:lineRule="atLeast"/>
        <w:jc w:val="center"/>
        <w:rPr>
          <w:rFonts w:hint="eastAsia" w:ascii="宋体" w:hAnsi="宋体" w:eastAsia="宋体" w:cs="宋体"/>
          <w:b/>
          <w:bCs/>
          <w:color w:val="auto"/>
          <w:sz w:val="32"/>
          <w:highlight w:val="none"/>
        </w:rPr>
      </w:pPr>
    </w:p>
    <w:p w14:paraId="50797075">
      <w:pPr>
        <w:shd w:val="clear"/>
        <w:jc w:val="center"/>
        <w:rPr>
          <w:rFonts w:hint="eastAsia" w:ascii="宋体" w:hAnsi="宋体" w:eastAsia="宋体" w:cs="宋体"/>
          <w:b/>
          <w:bCs/>
          <w:color w:val="auto"/>
          <w:sz w:val="24"/>
          <w:highlight w:val="none"/>
        </w:rPr>
      </w:pPr>
    </w:p>
    <w:p w14:paraId="5DDC08D4">
      <w:pPr>
        <w:shd w:val="clear"/>
        <w:jc w:val="center"/>
        <w:rPr>
          <w:rFonts w:hint="eastAsia" w:ascii="宋体" w:hAnsi="宋体" w:eastAsia="宋体" w:cs="宋体"/>
          <w:b/>
          <w:bCs/>
          <w:color w:val="auto"/>
          <w:sz w:val="24"/>
          <w:highlight w:val="none"/>
        </w:rPr>
      </w:pPr>
    </w:p>
    <w:p w14:paraId="5D4B8787">
      <w:pPr>
        <w:shd w:val="clear"/>
        <w:jc w:val="center"/>
        <w:rPr>
          <w:rFonts w:hint="eastAsia" w:ascii="宋体" w:hAnsi="宋体" w:eastAsia="宋体" w:cs="宋体"/>
          <w:b/>
          <w:bCs/>
          <w:color w:val="auto"/>
          <w:sz w:val="24"/>
          <w:highlight w:val="none"/>
        </w:rPr>
      </w:pPr>
    </w:p>
    <w:p w14:paraId="359B3011">
      <w:pPr>
        <w:shd w:val="clear"/>
        <w:jc w:val="center"/>
        <w:rPr>
          <w:rFonts w:hint="eastAsia" w:ascii="宋体" w:hAnsi="宋体" w:eastAsia="宋体" w:cs="宋体"/>
          <w:b/>
          <w:bCs/>
          <w:color w:val="auto"/>
          <w:sz w:val="24"/>
          <w:highlight w:val="none"/>
        </w:rPr>
      </w:pPr>
    </w:p>
    <w:p w14:paraId="1D8FD6D7">
      <w:pPr>
        <w:shd w:val="clear"/>
        <w:tabs>
          <w:tab w:val="left" w:pos="1276"/>
          <w:tab w:val="left" w:pos="2977"/>
        </w:tabs>
        <w:spacing w:line="600" w:lineRule="exact"/>
        <w:ind w:right="-1" w:firstLine="2711" w:firstLineChars="9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ascii="宋体" w:hAnsi="宋体" w:eastAsia="宋体" w:cs="宋体"/>
          <w:b/>
          <w:bCs/>
          <w:color w:val="auto"/>
          <w:sz w:val="30"/>
          <w:szCs w:val="30"/>
          <w:highlight w:val="none"/>
          <w:lang w:eastAsia="zh-CN"/>
        </w:rPr>
        <w:t>WGSS-XDJT-Z-2025021</w:t>
      </w:r>
    </w:p>
    <w:p w14:paraId="3231C7B4">
      <w:pPr>
        <w:shd w:val="clear"/>
        <w:tabs>
          <w:tab w:val="left" w:pos="1276"/>
          <w:tab w:val="left" w:pos="2977"/>
        </w:tabs>
        <w:spacing w:line="600" w:lineRule="exact"/>
        <w:ind w:right="-1" w:firstLine="2711" w:firstLineChars="9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监控存储</w:t>
      </w:r>
    </w:p>
    <w:p w14:paraId="3AC716D0">
      <w:pPr>
        <w:shd w:val="clear"/>
        <w:tabs>
          <w:tab w:val="left" w:pos="1276"/>
          <w:tab w:val="left" w:pos="2977"/>
        </w:tabs>
        <w:spacing w:line="600" w:lineRule="exact"/>
        <w:ind w:right="-1" w:firstLine="2711" w:firstLineChars="9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采购方式：公开招标</w:t>
      </w:r>
    </w:p>
    <w:p w14:paraId="02C2FBEA">
      <w:pPr>
        <w:shd w:val="clear"/>
        <w:spacing w:line="600" w:lineRule="exact"/>
        <w:ind w:firstLine="2141" w:firstLineChars="711"/>
        <w:rPr>
          <w:rFonts w:hint="eastAsia" w:ascii="宋体" w:hAnsi="宋体" w:eastAsia="宋体" w:cs="宋体"/>
          <w:b/>
          <w:bCs/>
          <w:color w:val="auto"/>
          <w:sz w:val="30"/>
          <w:szCs w:val="30"/>
          <w:highlight w:val="none"/>
        </w:rPr>
      </w:pPr>
    </w:p>
    <w:p w14:paraId="0D46E507">
      <w:pPr>
        <w:shd w:val="clear"/>
        <w:spacing w:line="600" w:lineRule="exact"/>
        <w:ind w:firstLine="2141" w:firstLineChars="711"/>
        <w:rPr>
          <w:rFonts w:hint="eastAsia" w:ascii="宋体" w:hAnsi="宋体" w:eastAsia="宋体" w:cs="宋体"/>
          <w:b/>
          <w:bCs/>
          <w:color w:val="auto"/>
          <w:sz w:val="30"/>
          <w:szCs w:val="30"/>
          <w:highlight w:val="none"/>
        </w:rPr>
      </w:pPr>
    </w:p>
    <w:p w14:paraId="73CCE6AE">
      <w:pPr>
        <w:shd w:val="clear"/>
        <w:spacing w:line="600" w:lineRule="exact"/>
        <w:ind w:firstLine="2141" w:firstLineChars="711"/>
        <w:rPr>
          <w:rFonts w:hint="eastAsia" w:ascii="宋体" w:hAnsi="宋体" w:eastAsia="宋体" w:cs="宋体"/>
          <w:b/>
          <w:bCs/>
          <w:color w:val="auto"/>
          <w:sz w:val="30"/>
          <w:szCs w:val="30"/>
          <w:highlight w:val="none"/>
        </w:rPr>
      </w:pPr>
    </w:p>
    <w:p w14:paraId="16BA8755">
      <w:pPr>
        <w:shd w:val="clear"/>
        <w:spacing w:line="600" w:lineRule="exact"/>
        <w:ind w:firstLine="2141" w:firstLineChars="71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 购 人：浙江东方职业技术学院</w:t>
      </w:r>
    </w:p>
    <w:p w14:paraId="0CE68240">
      <w:pPr>
        <w:shd w:val="clear"/>
        <w:spacing w:line="600" w:lineRule="exact"/>
        <w:ind w:firstLine="2141" w:firstLineChars="71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采购代理机构：浙江创嘉项目管理有限公司</w:t>
      </w:r>
    </w:p>
    <w:p w14:paraId="021F97D6">
      <w:pPr>
        <w:shd w:val="clear"/>
        <w:spacing w:line="600" w:lineRule="exact"/>
        <w:jc w:val="center"/>
        <w:rPr>
          <w:rFonts w:hint="eastAsia" w:ascii="宋体" w:hAnsi="宋体" w:eastAsia="宋体" w:cs="宋体"/>
          <w:b/>
          <w:bCs/>
          <w:color w:val="auto"/>
          <w:sz w:val="30"/>
          <w:szCs w:val="30"/>
          <w:highlight w:val="none"/>
        </w:rPr>
      </w:pPr>
    </w:p>
    <w:p w14:paraId="1110A444">
      <w:pPr>
        <w:shd w:val="clear"/>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二〇二五年</w:t>
      </w:r>
      <w:r>
        <w:rPr>
          <w:rFonts w:hint="eastAsia" w:ascii="宋体" w:hAnsi="宋体" w:eastAsia="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月</w:t>
      </w:r>
    </w:p>
    <w:p w14:paraId="467A8F09">
      <w:pPr>
        <w:shd w:val="clear"/>
        <w:spacing w:line="600" w:lineRule="exact"/>
        <w:jc w:val="center"/>
        <w:rPr>
          <w:rFonts w:hint="eastAsia" w:ascii="宋体" w:hAnsi="宋体" w:eastAsia="宋体" w:cs="宋体"/>
          <w:b/>
          <w:bCs/>
          <w:color w:val="auto"/>
          <w:sz w:val="32"/>
          <w:szCs w:val="32"/>
          <w:highlight w:val="none"/>
        </w:rPr>
        <w:sectPr>
          <w:headerReference r:id="rId3" w:type="default"/>
          <w:pgSz w:w="11906" w:h="16838"/>
          <w:pgMar w:top="1134" w:right="1134" w:bottom="1134" w:left="1134" w:header="851" w:footer="851" w:gutter="0"/>
          <w:pgNumType w:start="0"/>
          <w:cols w:space="720" w:num="1"/>
          <w:titlePg/>
          <w:docGrid w:linePitch="312" w:charSpace="0"/>
        </w:sectPr>
      </w:pPr>
    </w:p>
    <w:p w14:paraId="66CE1DF0">
      <w:pPr>
        <w:shd w:val="clear"/>
        <w:spacing w:line="360" w:lineRule="auto"/>
        <w:jc w:val="center"/>
        <w:outlineLvl w:val="0"/>
        <w:rPr>
          <w:rFonts w:hint="eastAsia" w:ascii="宋体" w:hAnsi="宋体" w:eastAsia="宋体" w:cs="宋体"/>
          <w:b/>
          <w:color w:val="auto"/>
          <w:sz w:val="32"/>
          <w:szCs w:val="32"/>
          <w:highlight w:val="none"/>
        </w:rPr>
      </w:pPr>
      <w:bookmarkStart w:id="0" w:name="_Toc32511"/>
      <w:bookmarkStart w:id="1" w:name="_Toc20765"/>
      <w:bookmarkStart w:id="2" w:name="_Toc2575"/>
      <w:r>
        <w:rPr>
          <w:rFonts w:hint="eastAsia" w:ascii="宋体" w:hAnsi="宋体" w:eastAsia="宋体" w:cs="宋体"/>
          <w:b/>
          <w:color w:val="auto"/>
          <w:sz w:val="32"/>
          <w:szCs w:val="32"/>
          <w:highlight w:val="none"/>
        </w:rPr>
        <w:t>投标保证金办理注意事项</w:t>
      </w:r>
      <w:bookmarkEnd w:id="0"/>
      <w:bookmarkEnd w:id="1"/>
      <w:bookmarkEnd w:id="2"/>
    </w:p>
    <w:p w14:paraId="0C5F7FF2">
      <w:pPr>
        <w:shd w:val="clear"/>
        <w:spacing w:line="360" w:lineRule="auto"/>
        <w:rPr>
          <w:rFonts w:hint="eastAsia" w:ascii="宋体" w:hAnsi="宋体" w:eastAsia="宋体" w:cs="宋体"/>
          <w:color w:val="auto"/>
          <w:sz w:val="22"/>
          <w:szCs w:val="22"/>
          <w:highlight w:val="none"/>
        </w:rPr>
      </w:pPr>
    </w:p>
    <w:p w14:paraId="46BC0EC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1、供应商必须在投标截止时间前以转账的方式汇入投标保证金，并至采购代理机构换取收据。</w:t>
      </w:r>
    </w:p>
    <w:p w14:paraId="378FB40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2、投标保证金的形式：由供应商银行账户中汇出，不得现金解入、不得由其分支机构或第三者汇出；</w:t>
      </w:r>
    </w:p>
    <w:p w14:paraId="1EFAFC5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3、浙江创嘉项目管理有限公司投标保证金账户：</w:t>
      </w:r>
    </w:p>
    <w:p w14:paraId="1DAF5020">
      <w:pPr>
        <w:shd w:val="clea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户名：浙江创嘉项目管理有限公司</w:t>
      </w:r>
    </w:p>
    <w:p w14:paraId="69A1B024">
      <w:pPr>
        <w:shd w:val="clear"/>
        <w:spacing w:line="360" w:lineRule="auto"/>
        <w:ind w:firstLine="44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账号：766000120190009458</w:t>
      </w:r>
    </w:p>
    <w:p w14:paraId="7AEF5115">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开户行：温州银行股份有限公司鹿城双屿支行</w:t>
      </w:r>
    </w:p>
    <w:p w14:paraId="4A068412">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4、供应商</w:t>
      </w:r>
      <w:r>
        <w:rPr>
          <w:rFonts w:hint="eastAsia" w:ascii="宋体" w:hAnsi="宋体" w:eastAsia="宋体" w:cs="宋体"/>
          <w:color w:val="auto"/>
          <w:sz w:val="22"/>
          <w:szCs w:val="22"/>
          <w:highlight w:val="none"/>
        </w:rPr>
        <w:t>携带投标保证金缴纳凭证（银行转账单、电汇单等，缴纳投标保证金用途必须注明项目名称）复印件并加盖有效公章，于投标截止时间前到浙江创嘉项目管理有限公司开具投标保证金收据。</w:t>
      </w:r>
    </w:p>
    <w:p w14:paraId="77058086">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5、保证金退付：未中标的供应商的投标保证金，在中标人确定后5个工作日内退还；中标人的投标保证金在签订合同并经合同备案后5个工作日内退还。</w:t>
      </w:r>
    </w:p>
    <w:p w14:paraId="29209AA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未中标的供应商的投标保证金，在中标人确定后5个工作日内，携带代理公司开具的投标保证金收据复印件和报价开具的收款收据（盖财务章或者公章）到浙江创嘉项目管理有限公司财务部办理退付投标保证金手续；亦可邮寄上述资料至浙江创嘉项目管理有限公司，收件人：徐速贞，电话0577-56653967），邮寄前请先致电登记并自行承担邮寄丢失的风险。中标人的投标保证金在签订合同并经合同备案后5个工作日内凭上述资料到浙江创嘉项目管理有限公司财务部办理退付投标保证金手续。</w:t>
      </w:r>
    </w:p>
    <w:p w14:paraId="62D9C9D0">
      <w:pPr>
        <w:shd w:val="clear"/>
        <w:spacing w:line="360" w:lineRule="auto"/>
        <w:ind w:firstLine="4400" w:firstLineChars="2000"/>
        <w:rPr>
          <w:rFonts w:hint="eastAsia" w:ascii="宋体" w:hAnsi="宋体" w:eastAsia="宋体" w:cs="宋体"/>
          <w:color w:val="auto"/>
          <w:sz w:val="22"/>
          <w:szCs w:val="22"/>
          <w:highlight w:val="none"/>
        </w:rPr>
      </w:pPr>
    </w:p>
    <w:p w14:paraId="582025E6">
      <w:pPr>
        <w:shd w:val="clear"/>
        <w:spacing w:line="360" w:lineRule="auto"/>
        <w:jc w:val="right"/>
        <w:rPr>
          <w:rFonts w:hint="eastAsia" w:ascii="宋体" w:hAnsi="宋体" w:eastAsia="宋体" w:cs="宋体"/>
          <w:color w:val="auto"/>
          <w:sz w:val="22"/>
          <w:szCs w:val="22"/>
          <w:highlight w:val="none"/>
        </w:rPr>
      </w:pPr>
      <w:bookmarkStart w:id="3" w:name="_Toc523384909"/>
      <w:r>
        <w:rPr>
          <w:rFonts w:hint="eastAsia" w:ascii="宋体" w:hAnsi="宋体" w:eastAsia="宋体" w:cs="宋体"/>
          <w:color w:val="auto"/>
          <w:sz w:val="22"/>
          <w:szCs w:val="22"/>
          <w:highlight w:val="none"/>
        </w:rPr>
        <w:t>浙江创嘉项目管理有限公司</w:t>
      </w:r>
      <w:bookmarkEnd w:id="3"/>
    </w:p>
    <w:p w14:paraId="645AD3A0">
      <w:pPr>
        <w:shd w:val="clear"/>
        <w:spacing w:line="48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目    录</w:t>
      </w:r>
    </w:p>
    <w:p w14:paraId="11835712">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_Toc5958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温州市现代集团所属浙江东方职业技术学院关于</w:t>
      </w:r>
      <w:r>
        <w:rPr>
          <w:rFonts w:hint="eastAsia" w:ascii="宋体" w:hAnsi="宋体" w:eastAsia="宋体" w:cs="宋体"/>
          <w:sz w:val="24"/>
          <w:szCs w:val="24"/>
          <w:highlight w:val="none"/>
          <w:lang w:eastAsia="zh-CN"/>
        </w:rPr>
        <w:t>监控存储</w:t>
      </w:r>
      <w:r>
        <w:rPr>
          <w:rFonts w:hint="eastAsia" w:ascii="宋体" w:hAnsi="宋体" w:eastAsia="宋体" w:cs="宋体"/>
          <w:sz w:val="24"/>
          <w:szCs w:val="24"/>
          <w:highlight w:val="none"/>
        </w:rPr>
        <w:t>项目（自主）的采购公告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BEB369D">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_Toc26893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94A7082">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_Toc28901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第一部分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_Toc28901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2A3A5556">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_Toc25990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_Toc25990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FE27E76">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_Toc6168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二、采购文件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_Toc6168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32C1CD6">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_Toc28720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三、投标文件的编制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_Toc28720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110CE55C">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_Toc29939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四、投标文件的递交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_Toc29939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525F054">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_Toc27194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五、开标和评标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_Toc27194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BF55087">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_Toc16295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_Toc16295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2453D0E3">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_Toc8136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第二部分  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_Toc8136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14C8A3F6">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_Toc7578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第三部分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_Toc7578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F20D689">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_Toc19253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第四部分  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_Toc19253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A2C9D26">
      <w:pPr>
        <w:pStyle w:val="22"/>
        <w:tabs>
          <w:tab w:val="right" w:leader="middleDot" w:pos="9638"/>
          <w:tab w:val="clear" w:pos="9628"/>
        </w:tabs>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_Toc2078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第五部分  评标原则及方法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317E184">
      <w:pPr>
        <w:shd w:val="clear"/>
        <w:spacing w:line="480" w:lineRule="auto"/>
        <w:rPr>
          <w:rFonts w:hint="eastAsia" w:ascii="宋体" w:hAnsi="宋体" w:eastAsia="宋体" w:cs="宋体"/>
          <w:b/>
          <w:bCs/>
          <w:color w:val="auto"/>
          <w:sz w:val="24"/>
          <w:highlight w:val="none"/>
        </w:rPr>
      </w:pPr>
      <w:r>
        <w:rPr>
          <w:rFonts w:hint="eastAsia" w:ascii="宋体" w:hAnsi="宋体" w:eastAsia="宋体" w:cs="宋体"/>
          <w:bCs/>
          <w:color w:val="auto"/>
          <w:sz w:val="24"/>
          <w:szCs w:val="24"/>
          <w:highlight w:val="none"/>
        </w:rPr>
        <w:fldChar w:fldCharType="end"/>
      </w:r>
      <w:r>
        <w:rPr>
          <w:rFonts w:hint="eastAsia" w:ascii="宋体" w:hAnsi="宋体" w:eastAsia="宋体" w:cs="宋体"/>
          <w:b/>
          <w:bCs/>
          <w:color w:val="auto"/>
          <w:sz w:val="24"/>
          <w:highlight w:val="none"/>
        </w:rPr>
        <w:t>注：采购文件中部分加“▲”及加下划线的条款，为采购的实质性要求和条件，着重提醒各投标人注意，并认真查看采购文件中的每一个条款及要求，因误读采购文件而造成的后果，采购人概不负责。</w:t>
      </w:r>
    </w:p>
    <w:p w14:paraId="06336996">
      <w:pPr>
        <w:shd w:val="clear"/>
        <w:spacing w:line="560" w:lineRule="exact"/>
        <w:rPr>
          <w:rFonts w:hint="eastAsia" w:ascii="宋体" w:hAnsi="宋体" w:eastAsia="宋体" w:cs="宋体"/>
          <w:b/>
          <w:bCs/>
          <w:color w:val="auto"/>
          <w:sz w:val="22"/>
          <w:szCs w:val="22"/>
          <w:highlight w:val="none"/>
        </w:rPr>
      </w:pPr>
    </w:p>
    <w:p w14:paraId="7D6650CB">
      <w:pPr>
        <w:shd w:val="clear"/>
        <w:spacing w:line="380" w:lineRule="exact"/>
        <w:ind w:right="720"/>
        <w:rPr>
          <w:rFonts w:hint="eastAsia" w:ascii="宋体" w:hAnsi="宋体" w:eastAsia="宋体" w:cs="宋体"/>
          <w:b/>
          <w:bCs/>
          <w:color w:val="auto"/>
          <w:kern w:val="0"/>
          <w:sz w:val="28"/>
          <w:szCs w:val="28"/>
          <w:highlight w:val="none"/>
        </w:rPr>
      </w:pPr>
    </w:p>
    <w:p w14:paraId="59366984">
      <w:pPr>
        <w:pStyle w:val="2"/>
        <w:keepNext w:val="0"/>
        <w:shd w:val="clear"/>
        <w:spacing w:line="360" w:lineRule="auto"/>
        <w:rPr>
          <w:rFonts w:hint="eastAsia" w:ascii="宋体" w:hAnsi="宋体" w:eastAsia="宋体" w:cs="宋体"/>
          <w:color w:val="auto"/>
          <w:sz w:val="32"/>
          <w:szCs w:val="32"/>
          <w:highlight w:val="none"/>
        </w:rPr>
      </w:pPr>
      <w:r>
        <w:rPr>
          <w:rFonts w:hint="eastAsia" w:ascii="宋体" w:hAnsi="宋体" w:eastAsia="宋体" w:cs="宋体"/>
          <w:b w:val="0"/>
          <w:bCs w:val="0"/>
          <w:color w:val="auto"/>
          <w:kern w:val="0"/>
          <w:sz w:val="28"/>
          <w:szCs w:val="28"/>
          <w:highlight w:val="none"/>
        </w:rPr>
        <w:br w:type="page"/>
      </w:r>
      <w:bookmarkStart w:id="4" w:name="_Toc5958"/>
      <w:bookmarkStart w:id="5" w:name="_Hlk86763547"/>
      <w:r>
        <w:rPr>
          <w:rFonts w:hint="eastAsia" w:ascii="宋体" w:hAnsi="宋体" w:eastAsia="宋体" w:cs="宋体"/>
          <w:color w:val="auto"/>
          <w:sz w:val="32"/>
          <w:szCs w:val="32"/>
          <w:highlight w:val="none"/>
        </w:rPr>
        <w:t>温州市现代集团所属浙江东方职业技术学院关于</w:t>
      </w:r>
      <w:r>
        <w:rPr>
          <w:rFonts w:hint="eastAsia" w:ascii="宋体" w:hAnsi="宋体" w:eastAsia="宋体" w:cs="宋体"/>
          <w:color w:val="auto"/>
          <w:sz w:val="32"/>
          <w:szCs w:val="32"/>
          <w:highlight w:val="none"/>
          <w:lang w:eastAsia="zh-CN"/>
        </w:rPr>
        <w:t>监控存储</w:t>
      </w:r>
      <w:r>
        <w:rPr>
          <w:rFonts w:hint="eastAsia" w:ascii="宋体" w:hAnsi="宋体" w:eastAsia="宋体" w:cs="宋体"/>
          <w:color w:val="auto"/>
          <w:sz w:val="32"/>
          <w:szCs w:val="32"/>
          <w:highlight w:val="none"/>
        </w:rPr>
        <w:t>项目（自主）的采购公告</w:t>
      </w:r>
      <w:bookmarkEnd w:id="4"/>
    </w:p>
    <w:p w14:paraId="177ACAD7">
      <w:pPr>
        <w:pStyle w:val="28"/>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根据《温州市市属国有企业采购管理办法》等有关规定，浙江创嘉项目管理有限公司受浙江东方职业技术学院委托，就</w:t>
      </w:r>
      <w:r>
        <w:rPr>
          <w:rFonts w:hint="eastAsia" w:ascii="宋体" w:hAnsi="宋体" w:eastAsia="宋体" w:cs="宋体"/>
          <w:color w:val="auto"/>
          <w:sz w:val="22"/>
          <w:szCs w:val="22"/>
          <w:highlight w:val="none"/>
          <w:lang w:eastAsia="zh-CN"/>
        </w:rPr>
        <w:t>监控存储</w:t>
      </w:r>
      <w:r>
        <w:rPr>
          <w:rFonts w:hint="eastAsia" w:ascii="宋体" w:hAnsi="宋体" w:eastAsia="宋体" w:cs="宋体"/>
          <w:color w:val="auto"/>
          <w:sz w:val="22"/>
          <w:szCs w:val="22"/>
          <w:highlight w:val="none"/>
        </w:rPr>
        <w:t>以公开招标方式进行国企采购，欢迎国内合格的投标人前来投标。</w:t>
      </w:r>
    </w:p>
    <w:p w14:paraId="5CC4646F">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lang w:eastAsia="zh-CN"/>
        </w:rPr>
      </w:pPr>
      <w:r>
        <w:rPr>
          <w:rStyle w:val="36"/>
          <w:rFonts w:hint="eastAsia" w:ascii="宋体" w:hAnsi="宋体" w:eastAsia="宋体" w:cs="宋体"/>
          <w:color w:val="auto"/>
          <w:sz w:val="22"/>
          <w:szCs w:val="22"/>
          <w:highlight w:val="none"/>
        </w:rPr>
        <w:t>一、项目编号：</w:t>
      </w:r>
      <w:r>
        <w:rPr>
          <w:rFonts w:hint="eastAsia" w:ascii="宋体" w:hAnsi="宋体" w:eastAsia="宋体" w:cs="宋体"/>
          <w:color w:val="auto"/>
          <w:sz w:val="22"/>
          <w:szCs w:val="22"/>
          <w:highlight w:val="none"/>
          <w:lang w:eastAsia="zh-CN"/>
        </w:rPr>
        <w:t>WGSS-XDJT-Z-2025021</w:t>
      </w:r>
    </w:p>
    <w:p w14:paraId="754DD75A">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二、项目性质：</w:t>
      </w:r>
      <w:r>
        <w:rPr>
          <w:rFonts w:hint="eastAsia" w:ascii="宋体" w:hAnsi="宋体" w:eastAsia="宋体" w:cs="宋体"/>
          <w:color w:val="auto"/>
          <w:sz w:val="22"/>
          <w:szCs w:val="22"/>
          <w:highlight w:val="none"/>
        </w:rPr>
        <w:t>国企采购（非政府采购项目）</w:t>
      </w:r>
    </w:p>
    <w:p w14:paraId="464BA084">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三、采购内容（具体采购内容及详细技术要求见采购文件相关部分）：</w:t>
      </w:r>
    </w:p>
    <w:tbl>
      <w:tblPr>
        <w:tblStyle w:val="33"/>
        <w:tblW w:w="4992" w:type="pct"/>
        <w:jc w:val="center"/>
        <w:tblLayout w:type="autofit"/>
        <w:tblCellMar>
          <w:top w:w="0" w:type="dxa"/>
          <w:left w:w="0" w:type="dxa"/>
          <w:bottom w:w="0" w:type="dxa"/>
          <w:right w:w="0" w:type="dxa"/>
        </w:tblCellMar>
      </w:tblPr>
      <w:tblGrid>
        <w:gridCol w:w="474"/>
        <w:gridCol w:w="1680"/>
        <w:gridCol w:w="1174"/>
        <w:gridCol w:w="3659"/>
        <w:gridCol w:w="2845"/>
      </w:tblGrid>
      <w:tr w14:paraId="71700F77">
        <w:tblPrEx>
          <w:tblCellMar>
            <w:top w:w="0" w:type="dxa"/>
            <w:left w:w="0" w:type="dxa"/>
            <w:bottom w:w="0" w:type="dxa"/>
            <w:right w:w="0" w:type="dxa"/>
          </w:tblCellMar>
        </w:tblPrEx>
        <w:trPr>
          <w:trHeight w:val="550" w:hRule="atLeast"/>
          <w:jc w:val="center"/>
        </w:trPr>
        <w:tc>
          <w:tcPr>
            <w:tcW w:w="241"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E59B55A">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Style w:val="36"/>
                <w:rFonts w:hint="eastAsia" w:ascii="宋体" w:hAnsi="宋体" w:eastAsia="宋体" w:cs="宋体"/>
                <w:b w:val="0"/>
                <w:bCs w:val="0"/>
                <w:color w:val="auto"/>
                <w:sz w:val="22"/>
                <w:szCs w:val="22"/>
                <w:highlight w:val="none"/>
              </w:rPr>
              <w:t>序号</w:t>
            </w:r>
          </w:p>
        </w:tc>
        <w:tc>
          <w:tcPr>
            <w:tcW w:w="854" w:type="pct"/>
            <w:tcBorders>
              <w:top w:val="single" w:color="000000" w:sz="6" w:space="0"/>
              <w:left w:val="nil"/>
              <w:bottom w:val="single" w:color="000000" w:sz="6" w:space="0"/>
              <w:right w:val="single" w:color="000000" w:sz="6" w:space="0"/>
            </w:tcBorders>
            <w:tcMar>
              <w:left w:w="105" w:type="dxa"/>
              <w:right w:w="105" w:type="dxa"/>
            </w:tcMar>
            <w:vAlign w:val="center"/>
          </w:tcPr>
          <w:p w14:paraId="328F2FE3">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Style w:val="36"/>
                <w:rFonts w:hint="eastAsia" w:ascii="宋体" w:hAnsi="宋体" w:eastAsia="宋体" w:cs="宋体"/>
                <w:b w:val="0"/>
                <w:bCs w:val="0"/>
                <w:color w:val="auto"/>
                <w:sz w:val="22"/>
                <w:szCs w:val="22"/>
                <w:highlight w:val="none"/>
              </w:rPr>
              <w:t>项目名称</w:t>
            </w:r>
          </w:p>
        </w:tc>
        <w:tc>
          <w:tcPr>
            <w:tcW w:w="597" w:type="pct"/>
            <w:tcBorders>
              <w:top w:val="single" w:color="000000" w:sz="6" w:space="0"/>
              <w:left w:val="nil"/>
              <w:bottom w:val="single" w:color="000000" w:sz="6" w:space="0"/>
              <w:right w:val="single" w:color="000000" w:sz="6" w:space="0"/>
            </w:tcBorders>
            <w:tcMar>
              <w:left w:w="105" w:type="dxa"/>
              <w:right w:w="105" w:type="dxa"/>
            </w:tcMar>
            <w:vAlign w:val="center"/>
          </w:tcPr>
          <w:p w14:paraId="3A2CEA69">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Style w:val="36"/>
                <w:rFonts w:hint="eastAsia" w:ascii="宋体" w:hAnsi="宋体" w:eastAsia="宋体" w:cs="宋体"/>
                <w:b w:val="0"/>
                <w:bCs w:val="0"/>
                <w:color w:val="auto"/>
                <w:sz w:val="22"/>
                <w:szCs w:val="22"/>
                <w:highlight w:val="none"/>
              </w:rPr>
              <w:t>预算金额</w:t>
            </w:r>
          </w:p>
        </w:tc>
        <w:tc>
          <w:tcPr>
            <w:tcW w:w="1860" w:type="pct"/>
            <w:tcBorders>
              <w:top w:val="single" w:color="000000" w:sz="6" w:space="0"/>
              <w:left w:val="nil"/>
              <w:bottom w:val="single" w:color="000000" w:sz="6" w:space="0"/>
              <w:right w:val="single" w:color="000000" w:sz="6" w:space="0"/>
            </w:tcBorders>
            <w:tcMar>
              <w:left w:w="105" w:type="dxa"/>
              <w:right w:w="105" w:type="dxa"/>
            </w:tcMar>
            <w:vAlign w:val="center"/>
          </w:tcPr>
          <w:p w14:paraId="68299AE7">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p>
        </w:tc>
        <w:tc>
          <w:tcPr>
            <w:tcW w:w="1446" w:type="pct"/>
            <w:tcBorders>
              <w:top w:val="single" w:color="000000" w:sz="6" w:space="0"/>
              <w:left w:val="nil"/>
              <w:bottom w:val="single" w:color="000000" w:sz="6" w:space="0"/>
              <w:right w:val="single" w:color="000000" w:sz="6" w:space="0"/>
            </w:tcBorders>
            <w:tcMar>
              <w:left w:w="105" w:type="dxa"/>
              <w:right w:w="105" w:type="dxa"/>
            </w:tcMar>
            <w:vAlign w:val="center"/>
          </w:tcPr>
          <w:p w14:paraId="1F288B2D">
            <w:pPr>
              <w:pStyle w:val="28"/>
              <w:widowControl w:val="0"/>
              <w:shd w:val="clear"/>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rPr>
            </w:pPr>
            <w:r>
              <w:rPr>
                <w:rStyle w:val="36"/>
                <w:rFonts w:hint="eastAsia" w:ascii="宋体" w:hAnsi="宋体" w:eastAsia="宋体" w:cs="宋体"/>
                <w:b w:val="0"/>
                <w:bCs w:val="0"/>
                <w:color w:val="auto"/>
                <w:sz w:val="22"/>
                <w:szCs w:val="22"/>
                <w:highlight w:val="none"/>
              </w:rPr>
              <w:t>简要技术要求、用途</w:t>
            </w:r>
          </w:p>
        </w:tc>
      </w:tr>
      <w:tr w14:paraId="23202399">
        <w:tblPrEx>
          <w:tblCellMar>
            <w:top w:w="0" w:type="dxa"/>
            <w:left w:w="0" w:type="dxa"/>
            <w:bottom w:w="0" w:type="dxa"/>
            <w:right w:w="0" w:type="dxa"/>
          </w:tblCellMar>
        </w:tblPrEx>
        <w:trPr>
          <w:trHeight w:val="660" w:hRule="atLeast"/>
          <w:jc w:val="center"/>
        </w:trPr>
        <w:tc>
          <w:tcPr>
            <w:tcW w:w="241" w:type="pct"/>
            <w:tcBorders>
              <w:top w:val="nil"/>
              <w:left w:val="single" w:color="000000" w:sz="6" w:space="0"/>
              <w:bottom w:val="single" w:color="000000" w:sz="6" w:space="0"/>
              <w:right w:val="single" w:color="000000" w:sz="6" w:space="0"/>
            </w:tcBorders>
            <w:tcMar>
              <w:left w:w="105" w:type="dxa"/>
              <w:right w:w="105" w:type="dxa"/>
            </w:tcMar>
            <w:vAlign w:val="center"/>
          </w:tcPr>
          <w:p w14:paraId="730E4B6D">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4" w:type="pct"/>
            <w:tcBorders>
              <w:top w:val="nil"/>
              <w:left w:val="nil"/>
              <w:bottom w:val="single" w:color="000000" w:sz="6" w:space="0"/>
              <w:right w:val="single" w:color="000000" w:sz="6" w:space="0"/>
            </w:tcBorders>
            <w:tcMar>
              <w:left w:w="105" w:type="dxa"/>
              <w:right w:w="105" w:type="dxa"/>
            </w:tcMar>
            <w:vAlign w:val="center"/>
          </w:tcPr>
          <w:p w14:paraId="067096E7">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监控存储</w:t>
            </w:r>
          </w:p>
        </w:tc>
        <w:tc>
          <w:tcPr>
            <w:tcW w:w="597" w:type="pct"/>
            <w:tcBorders>
              <w:top w:val="nil"/>
              <w:left w:val="nil"/>
              <w:bottom w:val="single" w:color="000000" w:sz="6" w:space="0"/>
              <w:right w:val="single" w:color="000000" w:sz="6" w:space="0"/>
            </w:tcBorders>
            <w:tcMar>
              <w:left w:w="105" w:type="dxa"/>
              <w:right w:w="105" w:type="dxa"/>
            </w:tcMar>
            <w:vAlign w:val="center"/>
          </w:tcPr>
          <w:p w14:paraId="2859CA9A">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35万元</w:t>
            </w:r>
          </w:p>
        </w:tc>
        <w:tc>
          <w:tcPr>
            <w:tcW w:w="1860" w:type="pct"/>
            <w:tcBorders>
              <w:top w:val="nil"/>
              <w:left w:val="nil"/>
              <w:bottom w:val="single" w:color="000000" w:sz="6" w:space="0"/>
              <w:right w:val="single" w:color="000000" w:sz="6" w:space="0"/>
            </w:tcBorders>
            <w:tcMar>
              <w:left w:w="105" w:type="dxa"/>
              <w:right w:w="105" w:type="dxa"/>
            </w:tcMar>
            <w:vAlign w:val="center"/>
          </w:tcPr>
          <w:p w14:paraId="17BE2FA5">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于2025年11月30日前完成本项目供货、安装并交付使用，具体交付时间及验收时间以采购人要求为准</w:t>
            </w:r>
            <w:r>
              <w:rPr>
                <w:rFonts w:hint="eastAsia" w:ascii="宋体" w:hAnsi="宋体" w:eastAsia="宋体" w:cs="宋体"/>
                <w:color w:val="auto"/>
                <w:sz w:val="22"/>
                <w:szCs w:val="22"/>
                <w:highlight w:val="none"/>
              </w:rPr>
              <w:t>。</w:t>
            </w:r>
          </w:p>
        </w:tc>
        <w:tc>
          <w:tcPr>
            <w:tcW w:w="1446" w:type="pct"/>
            <w:tcBorders>
              <w:top w:val="nil"/>
              <w:left w:val="nil"/>
              <w:bottom w:val="single" w:color="000000" w:sz="6" w:space="0"/>
              <w:right w:val="single" w:color="000000" w:sz="6" w:space="0"/>
            </w:tcBorders>
            <w:tcMar>
              <w:left w:w="105" w:type="dxa"/>
              <w:right w:w="105" w:type="dxa"/>
            </w:tcMar>
            <w:vAlign w:val="center"/>
          </w:tcPr>
          <w:p w14:paraId="76367B2B">
            <w:pPr>
              <w:pStyle w:val="28"/>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监控存储</w:t>
            </w:r>
            <w:r>
              <w:rPr>
                <w:rFonts w:hint="eastAsia" w:ascii="宋体" w:hAnsi="宋体" w:eastAsia="宋体" w:cs="宋体"/>
                <w:color w:val="auto"/>
                <w:sz w:val="22"/>
                <w:szCs w:val="22"/>
                <w:highlight w:val="none"/>
              </w:rPr>
              <w:t>，具体采购内容及要求见采购文件相关部分。</w:t>
            </w:r>
          </w:p>
        </w:tc>
      </w:tr>
    </w:tbl>
    <w:p w14:paraId="23026B8B">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四、投标人资格要求：</w:t>
      </w:r>
    </w:p>
    <w:p w14:paraId="2EE4677F">
      <w:pPr>
        <w:pStyle w:val="28"/>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1、符合《温州市市属国有企业采购管理办法》第十八条对投标人参加温州市国有企业采购活动应当具备的条件的要求；</w:t>
      </w:r>
    </w:p>
    <w:p w14:paraId="0B634F3A">
      <w:pPr>
        <w:pStyle w:val="28"/>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2、单位负责人为同一人或者存在直接控股、管理关系的不同投标人，不得参加同一合同项下的采购活动；</w:t>
      </w:r>
    </w:p>
    <w:p w14:paraId="7BE3209C">
      <w:pPr>
        <w:pStyle w:val="28"/>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3、本项目不接受联合体投标。</w:t>
      </w:r>
    </w:p>
    <w:p w14:paraId="5366F7E2">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五、获取采购文件时间及地址：</w:t>
      </w:r>
    </w:p>
    <w:p w14:paraId="304072A4">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1、获取时间：自本公告公布日起至截标之前，投标人单位准备好资料均可申请获取（上午：9:00-11:30 下午：13:30-16:30 双休日及法定节假日除外）。</w:t>
      </w:r>
    </w:p>
    <w:p w14:paraId="337AD9BE">
      <w:pPr>
        <w:pStyle w:val="28"/>
        <w:widowControl w:val="0"/>
        <w:shd w:val="clear"/>
        <w:spacing w:before="0" w:beforeAutospacing="0" w:after="0" w:afterAutospacing="0" w:line="360" w:lineRule="exact"/>
        <w:ind w:firstLine="435"/>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2、获取方式：网上获取/现场获取（获取网址：https://www.lecaiyun.com/）（未注册的供应商请尽早注册，客服电话：95763），投标人申请获取成功后自行下载采购文件，还须将书面申请获取资料提交至采购代理机构并办理购买采购文件事宜。</w:t>
      </w:r>
    </w:p>
    <w:p w14:paraId="0B00118A">
      <w:pPr>
        <w:pStyle w:val="28"/>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3、获取采购文件地点：温州市鹿城区车站大道天和大厦A幢1501室。投标人可采用邮寄或发送邮件方式申请获取，邮箱393354@qq.com，具体情况请联系采购代理机构。</w:t>
      </w:r>
    </w:p>
    <w:p w14:paraId="1CAD8180">
      <w:pPr>
        <w:pStyle w:val="28"/>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4、采购文件售价：人民币500元整（售后不退，支付宝缴费账号：393354@qq.com）</w:t>
      </w:r>
    </w:p>
    <w:p w14:paraId="474DBEFA">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5、购买采购文件时须提交的书面申请获取资料：</w:t>
      </w:r>
    </w:p>
    <w:p w14:paraId="0CA44E7F">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1）温州市国有企业采购投标报名申请表（附件自行下载填写）</w:t>
      </w:r>
    </w:p>
    <w:p w14:paraId="1664112A">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2）法定代表授权书或投标单位介绍信；</w:t>
      </w:r>
    </w:p>
    <w:p w14:paraId="17F3467C">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3）企业法人营业执照副本、税务登记证书（如有）；</w:t>
      </w:r>
    </w:p>
    <w:p w14:paraId="6AE3CECC">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4）投标人认为需要提供的其他资料；</w:t>
      </w:r>
    </w:p>
    <w:p w14:paraId="40815A73">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以上资料若为复印件，须加盖投标人公章。</w:t>
      </w:r>
    </w:p>
    <w:p w14:paraId="3D77CEA9">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六、投标及开标信息</w:t>
      </w:r>
    </w:p>
    <w:p w14:paraId="383FFDEA">
      <w:pPr>
        <w:pStyle w:val="28"/>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投标截止时间：2025年</w:t>
      </w:r>
      <w:r>
        <w:rPr>
          <w:rStyle w:val="36"/>
          <w:rFonts w:hint="eastAsia" w:ascii="宋体" w:hAnsi="宋体" w:eastAsia="宋体" w:cs="宋体"/>
          <w:color w:val="auto"/>
          <w:sz w:val="22"/>
          <w:szCs w:val="22"/>
          <w:highlight w:val="none"/>
          <w:lang w:val="en-US" w:eastAsia="zh-CN"/>
        </w:rPr>
        <w:t>10</w:t>
      </w:r>
      <w:r>
        <w:rPr>
          <w:rStyle w:val="36"/>
          <w:rFonts w:hint="eastAsia" w:ascii="宋体" w:hAnsi="宋体" w:eastAsia="宋体" w:cs="宋体"/>
          <w:color w:val="auto"/>
          <w:sz w:val="22"/>
          <w:szCs w:val="22"/>
          <w:highlight w:val="none"/>
        </w:rPr>
        <w:t>月</w:t>
      </w:r>
      <w:r>
        <w:rPr>
          <w:rStyle w:val="36"/>
          <w:rFonts w:hint="eastAsia" w:ascii="宋体" w:hAnsi="宋体" w:eastAsia="宋体" w:cs="宋体"/>
          <w:color w:val="auto"/>
          <w:sz w:val="22"/>
          <w:szCs w:val="22"/>
          <w:highlight w:val="none"/>
          <w:lang w:val="en-US" w:eastAsia="zh-CN"/>
        </w:rPr>
        <w:t>28</w:t>
      </w:r>
      <w:r>
        <w:rPr>
          <w:rStyle w:val="36"/>
          <w:rFonts w:hint="eastAsia" w:ascii="宋体" w:hAnsi="宋体" w:eastAsia="宋体" w:cs="宋体"/>
          <w:color w:val="auto"/>
          <w:sz w:val="22"/>
          <w:szCs w:val="22"/>
          <w:highlight w:val="none"/>
        </w:rPr>
        <w:t>日09时30分整</w:t>
      </w:r>
    </w:p>
    <w:p w14:paraId="09FCCFA8">
      <w:pPr>
        <w:pStyle w:val="28"/>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投标文件递交地点：温州经济技术开发区金海三道433号浙江东方职业技术学院行政楼516室</w:t>
      </w:r>
    </w:p>
    <w:p w14:paraId="42B704BF">
      <w:pPr>
        <w:pStyle w:val="28"/>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开标时间：2025年</w:t>
      </w:r>
      <w:r>
        <w:rPr>
          <w:rStyle w:val="36"/>
          <w:rFonts w:hint="eastAsia" w:ascii="宋体" w:hAnsi="宋体" w:eastAsia="宋体" w:cs="宋体"/>
          <w:color w:val="auto"/>
          <w:sz w:val="22"/>
          <w:szCs w:val="22"/>
          <w:highlight w:val="none"/>
          <w:lang w:val="en-US" w:eastAsia="zh-CN"/>
        </w:rPr>
        <w:t>10</w:t>
      </w:r>
      <w:r>
        <w:rPr>
          <w:rStyle w:val="36"/>
          <w:rFonts w:hint="eastAsia" w:ascii="宋体" w:hAnsi="宋体" w:eastAsia="宋体" w:cs="宋体"/>
          <w:color w:val="auto"/>
          <w:sz w:val="22"/>
          <w:szCs w:val="22"/>
          <w:highlight w:val="none"/>
        </w:rPr>
        <w:t>月</w:t>
      </w:r>
      <w:r>
        <w:rPr>
          <w:rStyle w:val="36"/>
          <w:rFonts w:hint="eastAsia" w:ascii="宋体" w:hAnsi="宋体" w:eastAsia="宋体" w:cs="宋体"/>
          <w:color w:val="auto"/>
          <w:sz w:val="22"/>
          <w:szCs w:val="22"/>
          <w:highlight w:val="none"/>
          <w:lang w:val="en-US" w:eastAsia="zh-CN"/>
        </w:rPr>
        <w:t>28</w:t>
      </w:r>
      <w:r>
        <w:rPr>
          <w:rStyle w:val="36"/>
          <w:rFonts w:hint="eastAsia" w:ascii="宋体" w:hAnsi="宋体" w:eastAsia="宋体" w:cs="宋体"/>
          <w:color w:val="auto"/>
          <w:sz w:val="22"/>
          <w:szCs w:val="22"/>
          <w:highlight w:val="none"/>
        </w:rPr>
        <w:t>日09时30分整</w:t>
      </w:r>
    </w:p>
    <w:p w14:paraId="023DED61">
      <w:pPr>
        <w:pStyle w:val="28"/>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开标地点：温州经济技术开发区金海三道433号浙江东方职业技术学院行政楼516室</w:t>
      </w:r>
    </w:p>
    <w:p w14:paraId="1CC85B7C">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七、投标保证金及交付方式：</w:t>
      </w:r>
    </w:p>
    <w:p w14:paraId="4D6A7532">
      <w:pPr>
        <w:pStyle w:val="28"/>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rPr>
        <w:t>投标保证金金额</w:t>
      </w:r>
      <w:r>
        <w:rPr>
          <w:rFonts w:hint="eastAsia" w:ascii="宋体" w:hAnsi="宋体" w:eastAsia="宋体" w:cs="宋体"/>
          <w:color w:val="auto"/>
          <w:sz w:val="22"/>
          <w:szCs w:val="22"/>
          <w:highlight w:val="none"/>
        </w:rPr>
        <w:t>：</w:t>
      </w:r>
      <w:r>
        <w:rPr>
          <w:rStyle w:val="36"/>
          <w:rFonts w:hint="eastAsia" w:ascii="宋体" w:hAnsi="宋体" w:eastAsia="宋体" w:cs="宋体"/>
          <w:color w:val="auto"/>
          <w:sz w:val="22"/>
          <w:szCs w:val="22"/>
          <w:highlight w:val="none"/>
        </w:rPr>
        <w:t>▲</w:t>
      </w:r>
      <w:r>
        <w:rPr>
          <w:rStyle w:val="36"/>
          <w:rFonts w:hint="eastAsia" w:ascii="宋体" w:hAnsi="宋体" w:eastAsia="宋体" w:cs="宋体"/>
          <w:color w:val="auto"/>
          <w:sz w:val="22"/>
          <w:szCs w:val="22"/>
          <w:highlight w:val="none"/>
          <w:u w:val="single"/>
        </w:rPr>
        <w:t>人民币</w:t>
      </w:r>
      <w:r>
        <w:rPr>
          <w:rStyle w:val="36"/>
          <w:rFonts w:hint="eastAsia" w:ascii="宋体" w:hAnsi="宋体" w:eastAsia="宋体" w:cs="宋体"/>
          <w:color w:val="auto"/>
          <w:sz w:val="22"/>
          <w:szCs w:val="22"/>
          <w:highlight w:val="none"/>
          <w:u w:val="single"/>
          <w:lang w:eastAsia="zh-CN"/>
        </w:rPr>
        <w:t>叁仟伍佰</w:t>
      </w:r>
      <w:r>
        <w:rPr>
          <w:rStyle w:val="36"/>
          <w:rFonts w:hint="eastAsia" w:ascii="宋体" w:hAnsi="宋体" w:eastAsia="宋体" w:cs="宋体"/>
          <w:color w:val="auto"/>
          <w:sz w:val="22"/>
          <w:szCs w:val="22"/>
          <w:highlight w:val="none"/>
          <w:u w:val="single"/>
        </w:rPr>
        <w:t>元整；供应商必须在投标截止时间前以转账的方式汇入投标保证金，并至采购代理机构换取收据。（详见本采购文件投标保证金办理注意事项）。</w:t>
      </w:r>
    </w:p>
    <w:p w14:paraId="081EE525">
      <w:pPr>
        <w:pStyle w:val="28"/>
        <w:widowControl w:val="0"/>
        <w:shd w:val="clear"/>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rPr>
      </w:pPr>
      <w:r>
        <w:rPr>
          <w:rStyle w:val="36"/>
          <w:rFonts w:hint="eastAsia" w:ascii="宋体" w:hAnsi="宋体" w:eastAsia="宋体" w:cs="宋体"/>
          <w:b w:val="0"/>
          <w:bCs w:val="0"/>
          <w:color w:val="auto"/>
          <w:sz w:val="22"/>
          <w:szCs w:val="22"/>
          <w:highlight w:val="none"/>
        </w:rPr>
        <w:t>户名：浙江创嘉项目管理有限公司</w:t>
      </w:r>
    </w:p>
    <w:p w14:paraId="24497816">
      <w:pPr>
        <w:pStyle w:val="28"/>
        <w:widowControl w:val="0"/>
        <w:shd w:val="clear"/>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rPr>
      </w:pPr>
      <w:r>
        <w:rPr>
          <w:rStyle w:val="36"/>
          <w:rFonts w:hint="eastAsia" w:ascii="宋体" w:hAnsi="宋体" w:eastAsia="宋体" w:cs="宋体"/>
          <w:b w:val="0"/>
          <w:bCs w:val="0"/>
          <w:color w:val="auto"/>
          <w:sz w:val="22"/>
          <w:szCs w:val="22"/>
          <w:highlight w:val="none"/>
        </w:rPr>
        <w:t>账号：766000120190009458</w:t>
      </w:r>
    </w:p>
    <w:p w14:paraId="3190ADF3">
      <w:pPr>
        <w:pStyle w:val="28"/>
        <w:widowControl w:val="0"/>
        <w:shd w:val="clear"/>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lang w:val="zh-CN"/>
        </w:rPr>
      </w:pPr>
      <w:r>
        <w:rPr>
          <w:rStyle w:val="36"/>
          <w:rFonts w:hint="eastAsia" w:ascii="宋体" w:hAnsi="宋体" w:eastAsia="宋体" w:cs="宋体"/>
          <w:b w:val="0"/>
          <w:bCs w:val="0"/>
          <w:color w:val="auto"/>
          <w:sz w:val="22"/>
          <w:szCs w:val="22"/>
          <w:highlight w:val="none"/>
        </w:rPr>
        <w:t>开户行：温州银行股份有限公司鹿城双屿支行</w:t>
      </w:r>
    </w:p>
    <w:p w14:paraId="166E0178">
      <w:pPr>
        <w:pStyle w:val="28"/>
        <w:widowControl w:val="0"/>
        <w:shd w:val="clear"/>
        <w:spacing w:before="0" w:beforeAutospacing="0" w:after="0" w:afterAutospacing="0" w:line="360" w:lineRule="exact"/>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八、其他事项：</w:t>
      </w:r>
    </w:p>
    <w:p w14:paraId="153B294B">
      <w:pPr>
        <w:pStyle w:val="28"/>
        <w:widowControl w:val="0"/>
        <w:shd w:val="clear"/>
        <w:spacing w:before="0" w:beforeAutospacing="0" w:after="0" w:afterAutospacing="0"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供应商认为采购文件使自己的权益受到损害的，可以自采购公告发出之日（采购公告发布当天不算）起6个日历天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采购监督管理部门投诉。</w:t>
      </w:r>
    </w:p>
    <w:p w14:paraId="19ABEDC7">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p w14:paraId="73CDA25D">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3、潜在供应商可在乐采云平台（https://www.lecaiyun.com/）进行免费注册，具体详见乐采云平台供应商注册要求，中标人应在合同签订前完成注册并成为正式注册供应商。</w:t>
      </w:r>
    </w:p>
    <w:p w14:paraId="32DAB708">
      <w:pPr>
        <w:pStyle w:val="28"/>
        <w:widowControl w:val="0"/>
        <w:shd w:val="clear"/>
        <w:spacing w:before="0" w:beforeAutospacing="0" w:after="0" w:afterAutospacing="0"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4、书面质疑受理地点：温州市鹿城区车站大道天和大厦A幢1501室，联系人：张先生，联系电话：13867729391。</w:t>
      </w:r>
    </w:p>
    <w:p w14:paraId="0BAC814E">
      <w:pPr>
        <w:pStyle w:val="28"/>
        <w:widowControl w:val="0"/>
        <w:shd w:val="clear"/>
        <w:spacing w:before="0" w:beforeAutospacing="0" w:after="0" w:afterAutospacing="0"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5、采购公告附件的采购文件仅供阅览使用，未按照本公告规定的方式获取采购文件的潜在供应商提起的质疑采购组织机构将不予受理、答复。</w:t>
      </w:r>
    </w:p>
    <w:p w14:paraId="73E9472E">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九、联系方式</w:t>
      </w:r>
    </w:p>
    <w:p w14:paraId="575C923E">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1、采购人：浙江东方职业技术学院</w:t>
      </w:r>
    </w:p>
    <w:p w14:paraId="156328F8">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地址：温州经济技术开发区金海三道433号浙江东方职业技术学院</w:t>
      </w:r>
    </w:p>
    <w:p w14:paraId="182780C5">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联系人：李老师</w:t>
      </w:r>
    </w:p>
    <w:p w14:paraId="3E83D4C4">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联系电话：0577-86561078</w:t>
      </w:r>
    </w:p>
    <w:p w14:paraId="62863CD1">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2、采购代理机构：浙江创嘉项目管理有限公司</w:t>
      </w:r>
    </w:p>
    <w:p w14:paraId="52D8010E">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地址：温州市鹿城区车站大道天和大厦A幢1501室</w:t>
      </w:r>
    </w:p>
    <w:p w14:paraId="43AD5BD7">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电话：13758431531、0577-56653967</w:t>
      </w:r>
    </w:p>
    <w:p w14:paraId="6CA91434">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传真：0577-56653969</w:t>
      </w:r>
    </w:p>
    <w:p w14:paraId="2D790B93">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联系人：单聪、张建雄</w:t>
      </w:r>
    </w:p>
    <w:p w14:paraId="17BDC379">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采购监督管理部门：浙江东方职业技术学院纪检室</w:t>
      </w:r>
    </w:p>
    <w:p w14:paraId="6600ADDB">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联系人：林先生</w:t>
      </w:r>
    </w:p>
    <w:p w14:paraId="431A8D8A">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联系电话：0577-86538533</w:t>
      </w:r>
    </w:p>
    <w:p w14:paraId="6D0E459E">
      <w:pPr>
        <w:pStyle w:val="28"/>
        <w:widowControl w:val="0"/>
        <w:shd w:val="clear"/>
        <w:spacing w:before="0" w:beforeAutospacing="0" w:after="0" w:afterAutospacing="0" w:line="360" w:lineRule="exact"/>
        <w:ind w:firstLine="420"/>
        <w:jc w:val="right"/>
        <w:rPr>
          <w:rFonts w:hint="eastAsia" w:ascii="宋体" w:hAnsi="宋体" w:eastAsia="宋体" w:cs="宋体"/>
          <w:color w:val="auto"/>
          <w:sz w:val="22"/>
          <w:szCs w:val="22"/>
          <w:highlight w:val="none"/>
        </w:rPr>
      </w:pPr>
    </w:p>
    <w:p w14:paraId="5791BA67">
      <w:pPr>
        <w:pStyle w:val="28"/>
        <w:widowControl w:val="0"/>
        <w:shd w:val="clear"/>
        <w:spacing w:before="0" w:beforeAutospacing="0" w:after="0" w:afterAutospacing="0" w:line="360" w:lineRule="exact"/>
        <w:ind w:firstLine="42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0CA8F2F0">
      <w:pPr>
        <w:pStyle w:val="28"/>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487C9BC8">
      <w:pPr>
        <w:pStyle w:val="28"/>
        <w:widowControl w:val="0"/>
        <w:shd w:val="clear"/>
        <w:spacing w:before="0" w:beforeAutospacing="0" w:after="0" w:afterAutospacing="0" w:line="360" w:lineRule="exact"/>
        <w:ind w:firstLine="435"/>
        <w:jc w:val="right"/>
        <w:rPr>
          <w:rStyle w:val="36"/>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2025年</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日</w:t>
      </w:r>
    </w:p>
    <w:p w14:paraId="6F712324">
      <w:pPr>
        <w:pStyle w:val="28"/>
        <w:widowControl w:val="0"/>
        <w:shd w:val="clear"/>
        <w:spacing w:before="0" w:beforeAutospacing="0" w:after="0" w:afterAutospacing="0" w:line="360" w:lineRule="exact"/>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温州市现代集团所属</w:t>
      </w:r>
      <w:r>
        <w:rPr>
          <w:rFonts w:hint="eastAsia" w:ascii="宋体" w:hAnsi="宋体" w:eastAsia="宋体" w:cs="宋体"/>
          <w:b/>
          <w:bCs/>
          <w:color w:val="auto"/>
          <w:kern w:val="2"/>
          <w:sz w:val="32"/>
          <w:szCs w:val="32"/>
          <w:highlight w:val="none"/>
        </w:rPr>
        <w:t>浙江东方职业技术学院关于</w:t>
      </w:r>
      <w:r>
        <w:rPr>
          <w:rFonts w:hint="eastAsia" w:ascii="宋体" w:hAnsi="宋体" w:eastAsia="宋体" w:cs="宋体"/>
          <w:b/>
          <w:bCs/>
          <w:color w:val="auto"/>
          <w:kern w:val="2"/>
          <w:sz w:val="32"/>
          <w:szCs w:val="32"/>
          <w:highlight w:val="none"/>
          <w:lang w:eastAsia="zh-CN"/>
        </w:rPr>
        <w:t>监控存储</w:t>
      </w:r>
      <w:r>
        <w:rPr>
          <w:rFonts w:hint="eastAsia" w:ascii="宋体" w:hAnsi="宋体" w:eastAsia="宋体" w:cs="宋体"/>
          <w:b/>
          <w:bCs/>
          <w:color w:val="auto"/>
          <w:kern w:val="2"/>
          <w:sz w:val="32"/>
          <w:szCs w:val="32"/>
          <w:highlight w:val="none"/>
        </w:rPr>
        <w:t>项目（自主）的征求意见公示</w:t>
      </w:r>
    </w:p>
    <w:p w14:paraId="625E13F6">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p>
    <w:p w14:paraId="4E30B62F">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浙江创嘉项目管理有限公司将于近期就浙江东方职业技术学院所需</w:t>
      </w:r>
      <w:r>
        <w:rPr>
          <w:rFonts w:hint="eastAsia" w:ascii="宋体" w:hAnsi="宋体" w:eastAsia="宋体" w:cs="宋体"/>
          <w:color w:val="auto"/>
          <w:sz w:val="22"/>
          <w:szCs w:val="22"/>
          <w:highlight w:val="none"/>
          <w:lang w:eastAsia="zh-CN"/>
        </w:rPr>
        <w:t>监控存储</w:t>
      </w:r>
      <w:r>
        <w:rPr>
          <w:rFonts w:hint="eastAsia" w:ascii="宋体" w:hAnsi="宋体" w:eastAsia="宋体" w:cs="宋体"/>
          <w:color w:val="auto"/>
          <w:sz w:val="22"/>
          <w:szCs w:val="22"/>
          <w:highlight w:val="none"/>
        </w:rPr>
        <w:t>以公开招标方式进行国企采购。现将采购文件公布如下，并公开征求投标人及专家意见。</w:t>
      </w:r>
    </w:p>
    <w:p w14:paraId="3DC9FF8B">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一、征求意见范围：</w:t>
      </w:r>
    </w:p>
    <w:p w14:paraId="095D4281">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1、是否出现明显的倾向性意见和特定的性能指标；</w:t>
      </w:r>
    </w:p>
    <w:p w14:paraId="59CCFB85">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2、投标人资格条件是否具有明显倾向性和歧视性；</w:t>
      </w:r>
    </w:p>
    <w:p w14:paraId="27DA010C">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3、影响国企采购“公开、公平、公正”原则的其他情况。</w:t>
      </w:r>
    </w:p>
    <w:p w14:paraId="7166FA21">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二、征求意见的回复：</w:t>
      </w:r>
    </w:p>
    <w:p w14:paraId="1696BCDA">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各投标人及专家提出修改理由和建议的，请于2025年</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日17:00前（节假日除外）将书面材料签字（盖章）并密封后送至温州市鹿城区车站大道天和大厦A幢1501室，外地可传真送达，传真：0577-56653969 ，传真件必须签字（盖章）。同时将电子文档发送至以下信箱：393354@qq.com。</w:t>
      </w:r>
    </w:p>
    <w:p w14:paraId="2FD7AA39">
      <w:pPr>
        <w:pStyle w:val="28"/>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联系人：单先生 电话：0577-56653967、13758431531。对逾期送达的意见、建议书恕不接受。</w:t>
      </w:r>
    </w:p>
    <w:p w14:paraId="7FAA1AEE">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三、附本项目采购文件</w:t>
      </w:r>
    </w:p>
    <w:p w14:paraId="3BD80E94">
      <w:pPr>
        <w:pStyle w:val="28"/>
        <w:widowControl w:val="0"/>
        <w:shd w:val="clear"/>
        <w:spacing w:before="0" w:beforeAutospacing="0" w:after="0" w:afterAutospacing="0" w:line="360" w:lineRule="exact"/>
        <w:rPr>
          <w:rFonts w:hint="eastAsia" w:ascii="宋体" w:hAnsi="宋体" w:eastAsia="宋体" w:cs="宋体"/>
          <w:color w:val="auto"/>
          <w:sz w:val="22"/>
          <w:szCs w:val="22"/>
          <w:highlight w:val="none"/>
        </w:rPr>
      </w:pPr>
    </w:p>
    <w:p w14:paraId="6AB40FD1">
      <w:pPr>
        <w:pStyle w:val="28"/>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p>
    <w:p w14:paraId="18CFACC7">
      <w:pPr>
        <w:pStyle w:val="28"/>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p>
    <w:p w14:paraId="72241EB0">
      <w:pPr>
        <w:pStyle w:val="28"/>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6EBA4251">
      <w:pPr>
        <w:pStyle w:val="28"/>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7A8F0B58">
      <w:pPr>
        <w:pStyle w:val="28"/>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2025年</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日</w:t>
      </w:r>
    </w:p>
    <w:bookmarkEnd w:id="5"/>
    <w:p w14:paraId="5CB31ACA">
      <w:pPr>
        <w:pStyle w:val="2"/>
        <w:shd w:val="clear"/>
        <w:tabs>
          <w:tab w:val="left" w:pos="840"/>
        </w:tabs>
        <w:spacing w:before="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bookmarkStart w:id="6" w:name="_Toc27051"/>
      <w:bookmarkStart w:id="7" w:name="_Toc26893"/>
      <w:r>
        <w:rPr>
          <w:rFonts w:hint="eastAsia" w:ascii="宋体" w:hAnsi="宋体" w:eastAsia="宋体" w:cs="宋体"/>
          <w:color w:val="auto"/>
          <w:sz w:val="30"/>
          <w:szCs w:val="30"/>
          <w:highlight w:val="none"/>
        </w:rPr>
        <w:t>投标人须知前附表</w:t>
      </w:r>
      <w:bookmarkEnd w:id="6"/>
      <w:bookmarkEnd w:id="7"/>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7A80017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E179FE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5E700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FCBA34">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编列内容</w:t>
            </w:r>
          </w:p>
        </w:tc>
      </w:tr>
      <w:tr w14:paraId="146D181C">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C4B18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DC87E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56714D">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采购人：浙江东方职业技术学院</w:t>
            </w:r>
          </w:p>
          <w:p w14:paraId="75455C47">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bCs/>
                <w:color w:val="auto"/>
                <w:sz w:val="22"/>
                <w:szCs w:val="22"/>
                <w:highlight w:val="none"/>
              </w:rPr>
              <w:t>温州经济技术开发区金海三道433号浙江东方职业技术学院</w:t>
            </w:r>
          </w:p>
          <w:p w14:paraId="00F210AC">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联系人：李老师</w:t>
            </w:r>
          </w:p>
          <w:p w14:paraId="61765A25">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联系电话：0577-86561078</w:t>
            </w:r>
          </w:p>
        </w:tc>
      </w:tr>
      <w:tr w14:paraId="0AAF61B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42A0D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22556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33AB83">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采购代理机构：浙江创嘉项目管理有限公司</w:t>
            </w:r>
          </w:p>
          <w:p w14:paraId="40477890">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地址：温州市鹿城区车站大道天和大厦A幢1501室</w:t>
            </w:r>
          </w:p>
          <w:p w14:paraId="10E8FA17">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联系人：单聪、张建雄</w:t>
            </w:r>
          </w:p>
          <w:p w14:paraId="54CF0CA9">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电话：13758431531、0577-56653967</w:t>
            </w:r>
          </w:p>
          <w:p w14:paraId="2625941A">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传真：0577-56653969</w:t>
            </w:r>
          </w:p>
        </w:tc>
      </w:tr>
      <w:tr w14:paraId="37EB0581">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449322">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CD372D">
            <w:pPr>
              <w:shd w:val="clear"/>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CA7931">
            <w:pPr>
              <w:shd w:val="clear"/>
              <w:snapToGrid w:val="0"/>
              <w:spacing w:line="3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监控存储</w:t>
            </w:r>
          </w:p>
          <w:p w14:paraId="4397F6FC">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WGSS-XDJT-Z-2025021</w:t>
            </w:r>
            <w:r>
              <w:rPr>
                <w:rFonts w:hint="eastAsia" w:ascii="宋体" w:hAnsi="宋体" w:eastAsia="宋体" w:cs="宋体"/>
                <w:color w:val="auto"/>
                <w:sz w:val="22"/>
                <w:szCs w:val="22"/>
                <w:highlight w:val="none"/>
              </w:rPr>
              <w:t xml:space="preserve">         </w:t>
            </w:r>
          </w:p>
        </w:tc>
      </w:tr>
      <w:tr w14:paraId="3701F25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3EE52D">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EADBD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w:t>
            </w:r>
            <w:r>
              <w:rPr>
                <w:rFonts w:hint="eastAsia" w:ascii="宋体" w:hAnsi="宋体" w:eastAsia="宋体" w:cs="宋体"/>
                <w:color w:val="auto"/>
                <w:kern w:val="0"/>
                <w:sz w:val="22"/>
                <w:szCs w:val="22"/>
                <w:highlight w:val="none"/>
              </w:rPr>
              <w:t>预算及</w:t>
            </w:r>
            <w:r>
              <w:rPr>
                <w:rFonts w:hint="eastAsia" w:ascii="宋体" w:hAnsi="宋体" w:eastAsia="宋体" w:cs="宋体"/>
                <w:color w:val="auto"/>
                <w:kern w:val="0"/>
                <w:sz w:val="22"/>
                <w:szCs w:val="22"/>
                <w:highlight w:val="none"/>
                <w:lang w:val="zh-CN"/>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00C7E9">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本项目采购</w:t>
            </w:r>
            <w:r>
              <w:rPr>
                <w:rFonts w:hint="eastAsia" w:ascii="宋体" w:hAnsi="宋体" w:eastAsia="宋体" w:cs="宋体"/>
                <w:color w:val="auto"/>
                <w:kern w:val="0"/>
                <w:sz w:val="22"/>
                <w:szCs w:val="22"/>
                <w:highlight w:val="none"/>
              </w:rPr>
              <w:t>预算</w:t>
            </w:r>
            <w:r>
              <w:rPr>
                <w:rFonts w:hint="eastAsia" w:ascii="宋体" w:hAnsi="宋体" w:eastAsia="宋体" w:cs="宋体"/>
                <w:color w:val="auto"/>
                <w:kern w:val="0"/>
                <w:sz w:val="22"/>
                <w:szCs w:val="22"/>
                <w:highlight w:val="none"/>
                <w:lang w:val="zh-CN"/>
              </w:rPr>
              <w:t>为35万元。具体内容及要求见采购文件。</w:t>
            </w:r>
          </w:p>
        </w:tc>
      </w:tr>
      <w:tr w14:paraId="1856947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0BAAC0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6659C3">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r>
              <w:rPr>
                <w:rFonts w:hint="eastAsia" w:ascii="宋体" w:hAnsi="宋体" w:eastAsia="宋体" w:cs="宋体"/>
                <w:b/>
                <w:bCs/>
                <w:color w:val="auto"/>
                <w:kern w:val="0"/>
                <w:sz w:val="22"/>
                <w:szCs w:val="22"/>
                <w:highlight w:val="none"/>
                <w:u w:val="single"/>
                <w:lang w:val="zh-CN"/>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58E8A26">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lang w:val="zh-CN"/>
              </w:rPr>
              <w:t>于2025年11月30日前完成本项目供货、安装并交付使用，具体交付时间及验收时间以采购人要求为准。</w:t>
            </w:r>
          </w:p>
        </w:tc>
      </w:tr>
      <w:tr w14:paraId="20DCD97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8A9011">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C5B929">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r>
              <w:rPr>
                <w:rFonts w:hint="eastAsia" w:ascii="宋体" w:hAnsi="宋体" w:eastAsia="宋体" w:cs="宋体"/>
                <w:b/>
                <w:bCs/>
                <w:color w:val="auto"/>
                <w:kern w:val="0"/>
                <w:sz w:val="22"/>
                <w:szCs w:val="22"/>
                <w:highlight w:val="none"/>
                <w:u w:val="single"/>
              </w:rPr>
              <w:t>投标人</w:t>
            </w:r>
            <w:r>
              <w:rPr>
                <w:rFonts w:hint="eastAsia" w:ascii="宋体" w:hAnsi="宋体" w:eastAsia="宋体" w:cs="宋体"/>
                <w:b/>
                <w:bCs/>
                <w:color w:val="auto"/>
                <w:kern w:val="0"/>
                <w:sz w:val="22"/>
                <w:szCs w:val="22"/>
                <w:highlight w:val="none"/>
                <w:u w:val="single"/>
                <w:lang w:val="zh-CN"/>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E5D43B2">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lang w:val="zh-CN"/>
              </w:rPr>
            </w:pPr>
            <w:r>
              <w:rPr>
                <w:rFonts w:hint="eastAsia" w:ascii="宋体" w:hAnsi="宋体" w:eastAsia="宋体" w:cs="宋体"/>
                <w:b/>
                <w:bCs/>
                <w:color w:val="auto"/>
                <w:kern w:val="0"/>
                <w:sz w:val="22"/>
                <w:szCs w:val="22"/>
                <w:highlight w:val="none"/>
                <w:u w:val="single"/>
                <w:lang w:val="zh-CN"/>
              </w:rPr>
              <w:t>1、符合《温州市市属国有企业采购管理办法》第十</w:t>
            </w:r>
            <w:r>
              <w:rPr>
                <w:rFonts w:hint="eastAsia" w:ascii="宋体" w:hAnsi="宋体" w:eastAsia="宋体" w:cs="宋体"/>
                <w:b/>
                <w:bCs/>
                <w:color w:val="auto"/>
                <w:kern w:val="0"/>
                <w:sz w:val="22"/>
                <w:szCs w:val="22"/>
                <w:highlight w:val="none"/>
                <w:u w:val="single"/>
              </w:rPr>
              <w:t>八</w:t>
            </w:r>
            <w:r>
              <w:rPr>
                <w:rFonts w:hint="eastAsia" w:ascii="宋体" w:hAnsi="宋体" w:eastAsia="宋体" w:cs="宋体"/>
                <w:b/>
                <w:bCs/>
                <w:color w:val="auto"/>
                <w:kern w:val="0"/>
                <w:sz w:val="22"/>
                <w:szCs w:val="22"/>
                <w:highlight w:val="none"/>
                <w:u w:val="single"/>
                <w:lang w:val="zh-CN"/>
              </w:rPr>
              <w:t>条对投标人参加温州市国有企业采购活动应当具备的条件的要求；</w:t>
            </w:r>
          </w:p>
          <w:p w14:paraId="2AFAC96D">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lang w:val="zh-CN"/>
              </w:rPr>
            </w:pPr>
            <w:r>
              <w:rPr>
                <w:rFonts w:hint="eastAsia" w:ascii="宋体" w:hAnsi="宋体" w:eastAsia="宋体" w:cs="宋体"/>
                <w:b/>
                <w:bCs/>
                <w:color w:val="auto"/>
                <w:kern w:val="0"/>
                <w:sz w:val="22"/>
                <w:szCs w:val="22"/>
                <w:highlight w:val="none"/>
                <w:u w:val="single"/>
                <w:lang w:val="zh-CN"/>
              </w:rPr>
              <w:t>2、单位负责人为同一人或者存在直接控股、管理关系的不同投标人，不得参加同一合同项下的采购活动；</w:t>
            </w:r>
          </w:p>
          <w:p w14:paraId="720E1231">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lang w:val="zh-CN"/>
              </w:rPr>
            </w:pPr>
            <w:r>
              <w:rPr>
                <w:rFonts w:hint="eastAsia" w:ascii="宋体" w:hAnsi="宋体" w:eastAsia="宋体" w:cs="宋体"/>
                <w:b/>
                <w:bCs/>
                <w:color w:val="auto"/>
                <w:kern w:val="0"/>
                <w:sz w:val="22"/>
                <w:szCs w:val="22"/>
                <w:highlight w:val="none"/>
                <w:u w:val="single"/>
              </w:rPr>
              <w:t>3、</w:t>
            </w:r>
            <w:r>
              <w:rPr>
                <w:rFonts w:hint="eastAsia" w:ascii="宋体" w:hAnsi="宋体" w:eastAsia="宋体" w:cs="宋体"/>
                <w:b/>
                <w:bCs/>
                <w:color w:val="auto"/>
                <w:kern w:val="0"/>
                <w:sz w:val="22"/>
                <w:szCs w:val="22"/>
                <w:highlight w:val="none"/>
                <w:u w:val="single"/>
                <w:lang w:val="zh-CN"/>
              </w:rPr>
              <w:t>本项目不接受联合体投标。</w:t>
            </w:r>
          </w:p>
        </w:tc>
      </w:tr>
      <w:tr w14:paraId="2696F7F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8F60D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8374F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2C2065">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☑不接受</w:t>
            </w:r>
          </w:p>
          <w:p w14:paraId="3BE3A0A7">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□接受</w:t>
            </w:r>
          </w:p>
        </w:tc>
      </w:tr>
      <w:tr w14:paraId="70701EC3">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8B39BA5">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D66C56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B01707">
            <w:pPr>
              <w:shd w:val="clear"/>
              <w:autoSpaceDE w:val="0"/>
              <w:autoSpaceDN w:val="0"/>
              <w:adjustRightInd w:val="0"/>
              <w:snapToGrid w:val="0"/>
              <w:spacing w:line="36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sym w:font="Wingdings" w:char="F0FE"/>
            </w:r>
            <w:r>
              <w:rPr>
                <w:rFonts w:hint="eastAsia" w:ascii="宋体" w:hAnsi="宋体" w:eastAsia="宋体" w:cs="宋体"/>
                <w:color w:val="auto"/>
                <w:kern w:val="0"/>
                <w:sz w:val="22"/>
                <w:szCs w:val="22"/>
                <w:highlight w:val="none"/>
                <w:lang w:val="zh-CN"/>
              </w:rPr>
              <w:t>不组织，现场勘查不统一组织，潜在投标人可自行前往。</w:t>
            </w:r>
          </w:p>
        </w:tc>
      </w:tr>
      <w:tr w14:paraId="0F5BB5F5">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8591A0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D48235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8054D6">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□召开</w:t>
            </w:r>
          </w:p>
          <w:p w14:paraId="2D43713B">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☑不召开</w:t>
            </w:r>
          </w:p>
        </w:tc>
      </w:tr>
      <w:tr w14:paraId="2FCB6DE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604375">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408B5F9">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39DC75">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见采购公告</w:t>
            </w:r>
          </w:p>
        </w:tc>
      </w:tr>
      <w:tr w14:paraId="121B03F5">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438132">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C02BE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6268AF">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□允许</w:t>
            </w:r>
          </w:p>
          <w:p w14:paraId="0F56DAF8">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☑不允许</w:t>
            </w:r>
          </w:p>
        </w:tc>
      </w:tr>
      <w:tr w14:paraId="338D5CB3">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7399C2">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DE7374">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000A07">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偏差允许幅度及其处理方法：不允许负偏差。</w:t>
            </w:r>
          </w:p>
        </w:tc>
      </w:tr>
      <w:tr w14:paraId="3C26990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2A14AC">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67EC91">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EB4799">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自投标截止时间起生效，有效期90天。</w:t>
            </w:r>
          </w:p>
        </w:tc>
      </w:tr>
      <w:tr w14:paraId="7AC1B5A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C8FF9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0285EB">
            <w:pPr>
              <w:shd w:val="clear"/>
              <w:autoSpaceDE w:val="0"/>
              <w:autoSpaceDN w:val="0"/>
              <w:adjustRightInd w:val="0"/>
              <w:snapToGrid w:val="0"/>
              <w:spacing w:line="360" w:lineRule="exac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D87371">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投标</w:t>
            </w:r>
            <w:r>
              <w:rPr>
                <w:rFonts w:hint="eastAsia" w:ascii="宋体" w:hAnsi="宋体" w:eastAsia="宋体" w:cs="宋体"/>
                <w:b/>
                <w:bCs/>
                <w:color w:val="auto"/>
                <w:kern w:val="0"/>
                <w:sz w:val="22"/>
                <w:szCs w:val="22"/>
                <w:highlight w:val="none"/>
                <w:lang w:val="zh-CN"/>
              </w:rPr>
              <w:t>保证金金额：▲</w:t>
            </w:r>
            <w:r>
              <w:rPr>
                <w:rFonts w:hint="eastAsia" w:ascii="宋体" w:hAnsi="宋体" w:eastAsia="宋体" w:cs="宋体"/>
                <w:b/>
                <w:bCs/>
                <w:color w:val="auto"/>
                <w:kern w:val="0"/>
                <w:sz w:val="22"/>
                <w:szCs w:val="22"/>
                <w:highlight w:val="none"/>
                <w:u w:val="single"/>
                <w:lang w:val="zh-CN"/>
              </w:rPr>
              <w:t>人民币</w:t>
            </w:r>
            <w:r>
              <w:rPr>
                <w:rFonts w:hint="eastAsia" w:ascii="宋体" w:hAnsi="宋体" w:eastAsia="宋体" w:cs="宋体"/>
                <w:b/>
                <w:bCs/>
                <w:color w:val="auto"/>
                <w:kern w:val="0"/>
                <w:sz w:val="22"/>
                <w:szCs w:val="22"/>
                <w:highlight w:val="none"/>
                <w:u w:val="single"/>
                <w:lang w:eastAsia="zh-CN"/>
              </w:rPr>
              <w:t>叁仟伍佰</w:t>
            </w:r>
            <w:r>
              <w:rPr>
                <w:rFonts w:hint="eastAsia" w:ascii="宋体" w:hAnsi="宋体" w:eastAsia="宋体" w:cs="宋体"/>
                <w:b/>
                <w:bCs/>
                <w:color w:val="auto"/>
                <w:kern w:val="0"/>
                <w:sz w:val="22"/>
                <w:szCs w:val="22"/>
                <w:highlight w:val="none"/>
                <w:u w:val="single"/>
              </w:rPr>
              <w:t>元</w:t>
            </w:r>
            <w:r>
              <w:rPr>
                <w:rFonts w:hint="eastAsia" w:ascii="宋体" w:hAnsi="宋体" w:eastAsia="宋体" w:cs="宋体"/>
                <w:b/>
                <w:bCs/>
                <w:color w:val="auto"/>
                <w:kern w:val="0"/>
                <w:sz w:val="22"/>
                <w:szCs w:val="22"/>
                <w:highlight w:val="none"/>
                <w:u w:val="single"/>
                <w:lang w:val="zh-CN"/>
              </w:rPr>
              <w:t>整；</w:t>
            </w:r>
            <w:r>
              <w:rPr>
                <w:rFonts w:hint="eastAsia" w:ascii="宋体" w:hAnsi="宋体" w:eastAsia="宋体" w:cs="宋体"/>
                <w:b/>
                <w:bCs/>
                <w:color w:val="auto"/>
                <w:kern w:val="0"/>
                <w:sz w:val="22"/>
                <w:szCs w:val="22"/>
                <w:highlight w:val="none"/>
                <w:u w:val="single"/>
              </w:rPr>
              <w:t>供应商</w:t>
            </w:r>
            <w:r>
              <w:rPr>
                <w:rFonts w:hint="eastAsia" w:ascii="宋体" w:hAnsi="宋体" w:eastAsia="宋体" w:cs="宋体"/>
                <w:b/>
                <w:bCs/>
                <w:color w:val="auto"/>
                <w:kern w:val="0"/>
                <w:sz w:val="22"/>
                <w:szCs w:val="22"/>
                <w:highlight w:val="none"/>
                <w:u w:val="single"/>
                <w:lang w:val="zh-CN"/>
              </w:rPr>
              <w:t>必须在投标截止时间前以转账的方式汇入</w:t>
            </w:r>
            <w:r>
              <w:rPr>
                <w:rFonts w:hint="eastAsia" w:ascii="宋体" w:hAnsi="宋体" w:eastAsia="宋体" w:cs="宋体"/>
                <w:b/>
                <w:bCs/>
                <w:color w:val="auto"/>
                <w:kern w:val="0"/>
                <w:sz w:val="22"/>
                <w:szCs w:val="22"/>
                <w:highlight w:val="none"/>
                <w:u w:val="single"/>
              </w:rPr>
              <w:t>投标</w:t>
            </w:r>
            <w:r>
              <w:rPr>
                <w:rFonts w:hint="eastAsia" w:ascii="宋体" w:hAnsi="宋体" w:eastAsia="宋体" w:cs="宋体"/>
                <w:b/>
                <w:bCs/>
                <w:color w:val="auto"/>
                <w:kern w:val="0"/>
                <w:sz w:val="22"/>
                <w:szCs w:val="22"/>
                <w:highlight w:val="none"/>
                <w:u w:val="single"/>
                <w:lang w:val="zh-CN"/>
              </w:rPr>
              <w:t>保证金，并至采购代理机构换取收据。（详见本采购文件</w:t>
            </w:r>
            <w:r>
              <w:rPr>
                <w:rFonts w:hint="eastAsia" w:ascii="宋体" w:hAnsi="宋体" w:eastAsia="宋体" w:cs="宋体"/>
                <w:b/>
                <w:bCs/>
                <w:color w:val="auto"/>
                <w:kern w:val="0"/>
                <w:sz w:val="22"/>
                <w:szCs w:val="22"/>
                <w:highlight w:val="none"/>
                <w:u w:val="single"/>
              </w:rPr>
              <w:t>投标</w:t>
            </w:r>
            <w:r>
              <w:rPr>
                <w:rFonts w:hint="eastAsia" w:ascii="宋体" w:hAnsi="宋体" w:eastAsia="宋体" w:cs="宋体"/>
                <w:b/>
                <w:bCs/>
                <w:color w:val="auto"/>
                <w:kern w:val="0"/>
                <w:sz w:val="22"/>
                <w:szCs w:val="22"/>
                <w:highlight w:val="none"/>
                <w:u w:val="single"/>
                <w:lang w:val="zh-CN"/>
              </w:rPr>
              <w:t>保证金办理注意事项）。</w:t>
            </w:r>
          </w:p>
          <w:p w14:paraId="2ED1A58C">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户名：浙江创嘉项目管理有限公司</w:t>
            </w:r>
          </w:p>
          <w:p w14:paraId="3BC8AA20">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账号：766000120190009458</w:t>
            </w:r>
          </w:p>
          <w:p w14:paraId="1C33654B">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lang w:val="zh-CN"/>
              </w:rPr>
              <w:t>开户行：温州银行股份有限公司鹿城双屿支行</w:t>
            </w:r>
          </w:p>
        </w:tc>
      </w:tr>
      <w:tr w14:paraId="42A8784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62A57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773230C">
            <w:pPr>
              <w:shd w:val="clear"/>
              <w:autoSpaceDE w:val="0"/>
              <w:autoSpaceDN w:val="0"/>
              <w:adjustRightInd w:val="0"/>
              <w:snapToGrid w:val="0"/>
              <w:spacing w:line="360" w:lineRule="exac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投标文件</w:t>
            </w:r>
            <w:r>
              <w:rPr>
                <w:rFonts w:hint="eastAsia" w:ascii="宋体" w:hAnsi="宋体" w:eastAsia="宋体" w:cs="宋体"/>
                <w:b/>
                <w:bCs/>
                <w:color w:val="auto"/>
                <w:kern w:val="0"/>
                <w:sz w:val="22"/>
                <w:szCs w:val="22"/>
                <w:highlight w:val="none"/>
                <w:lang w:val="zh-CN"/>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7144239">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1、</w:t>
            </w:r>
            <w:r>
              <w:rPr>
                <w:rFonts w:hint="eastAsia" w:ascii="宋体" w:hAnsi="宋体" w:eastAsia="宋体" w:cs="宋体"/>
                <w:b/>
                <w:bCs/>
                <w:color w:val="auto"/>
                <w:kern w:val="0"/>
                <w:sz w:val="22"/>
                <w:szCs w:val="22"/>
                <w:highlight w:val="none"/>
                <w:lang w:val="zh-CN"/>
              </w:rPr>
              <w:t>由“</w:t>
            </w:r>
            <w:r>
              <w:rPr>
                <w:rFonts w:hint="eastAsia" w:ascii="宋体" w:hAnsi="宋体" w:eastAsia="宋体" w:cs="宋体"/>
                <w:b/>
                <w:bCs/>
                <w:color w:val="auto"/>
                <w:kern w:val="0"/>
                <w:sz w:val="22"/>
                <w:szCs w:val="22"/>
                <w:highlight w:val="none"/>
              </w:rPr>
              <w:t>技术资信文件</w:t>
            </w:r>
            <w:r>
              <w:rPr>
                <w:rFonts w:hint="eastAsia" w:ascii="宋体" w:hAnsi="宋体" w:eastAsia="宋体" w:cs="宋体"/>
                <w:b/>
                <w:bCs/>
                <w:color w:val="auto"/>
                <w:kern w:val="0"/>
                <w:sz w:val="22"/>
                <w:szCs w:val="22"/>
                <w:highlight w:val="none"/>
                <w:lang w:val="zh-CN"/>
              </w:rPr>
              <w:t>”和“报价文件”</w:t>
            </w:r>
            <w:r>
              <w:rPr>
                <w:rFonts w:hint="eastAsia" w:ascii="宋体" w:hAnsi="宋体" w:eastAsia="宋体" w:cs="宋体"/>
                <w:b/>
                <w:bCs/>
                <w:color w:val="auto"/>
                <w:kern w:val="0"/>
                <w:sz w:val="22"/>
                <w:szCs w:val="22"/>
                <w:highlight w:val="none"/>
              </w:rPr>
              <w:t>二</w:t>
            </w:r>
            <w:r>
              <w:rPr>
                <w:rFonts w:hint="eastAsia" w:ascii="宋体" w:hAnsi="宋体" w:eastAsia="宋体" w:cs="宋体"/>
                <w:b/>
                <w:bCs/>
                <w:color w:val="auto"/>
                <w:kern w:val="0"/>
                <w:sz w:val="22"/>
                <w:szCs w:val="22"/>
                <w:highlight w:val="none"/>
                <w:lang w:val="zh-CN"/>
              </w:rPr>
              <w:t xml:space="preserve">个部分组成。纸质投标文件正本一份，副本五份，共六份。 </w:t>
            </w:r>
          </w:p>
          <w:p w14:paraId="0F3D6DC3">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2、电子投标文件U盘一份，电子投标文件为技术资信文件、报价文件等二部分完整投标文件签字盖章后的PDF格式扫描文件。电子投标文件密封于“报价文件”密封袋内。</w:t>
            </w:r>
          </w:p>
        </w:tc>
      </w:tr>
      <w:tr w14:paraId="4DD3634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1B1C99">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250D7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开标时间</w:t>
            </w:r>
          </w:p>
          <w:p w14:paraId="3B839AE7">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2DA5A9F">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w:t>
            </w:r>
          </w:p>
        </w:tc>
      </w:tr>
      <w:tr w14:paraId="14823CDD">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194424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BF936E">
            <w:pPr>
              <w:shd w:val="clear"/>
              <w:snapToGrid w:val="0"/>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2387C38C">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658A95">
            <w:pPr>
              <w:shd w:val="clear"/>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bCs/>
                <w:color w:val="auto"/>
                <w:sz w:val="22"/>
                <w:szCs w:val="22"/>
                <w:highlight w:val="none"/>
              </w:rPr>
              <w:t>采购人按照《</w:t>
            </w:r>
            <w:r>
              <w:rPr>
                <w:rFonts w:hint="eastAsia" w:ascii="宋体" w:hAnsi="宋体" w:eastAsia="宋体" w:cs="宋体"/>
                <w:bCs/>
                <w:color w:val="auto"/>
                <w:kern w:val="0"/>
                <w:sz w:val="22"/>
                <w:szCs w:val="22"/>
                <w:highlight w:val="none"/>
              </w:rPr>
              <w:t>温州市市属国有企业采购管理办法</w:t>
            </w:r>
            <w:r>
              <w:rPr>
                <w:rFonts w:hint="eastAsia" w:ascii="宋体" w:hAnsi="宋体" w:eastAsia="宋体" w:cs="宋体"/>
                <w:bCs/>
                <w:color w:val="auto"/>
                <w:sz w:val="22"/>
                <w:szCs w:val="22"/>
                <w:highlight w:val="none"/>
              </w:rPr>
              <w:t>》等有关法律法规的规定组建评标委员会，评标委员会由采购人代表和有关技术、经济等方面的专家组成，成员人数为5人（含）以上单数，除采购人代表外的专家将在评标专家库中随机抽取产生。</w:t>
            </w:r>
          </w:p>
        </w:tc>
      </w:tr>
      <w:tr w14:paraId="1FB2F02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65AFBE">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F13F479">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96A7BD">
            <w:pPr>
              <w:shd w:val="clear"/>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rPr>
              <w:t>需要</w:t>
            </w:r>
          </w:p>
          <w:p w14:paraId="6DADD912">
            <w:pPr>
              <w:shd w:val="clear"/>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履约保证金的形式：银行转账或保函（银行、保险公司出具）。</w:t>
            </w:r>
          </w:p>
          <w:p w14:paraId="416D7875">
            <w:pPr>
              <w:shd w:val="clear"/>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履约保证金的金额：中标金额的2.5%</w:t>
            </w:r>
            <w:r>
              <w:rPr>
                <w:rFonts w:hint="eastAsia" w:ascii="宋体" w:hAnsi="宋体" w:eastAsia="宋体" w:cs="宋体"/>
                <w:bCs/>
                <w:color w:val="auto"/>
                <w:kern w:val="0"/>
                <w:sz w:val="22"/>
                <w:szCs w:val="22"/>
                <w:highlight w:val="none"/>
              </w:rPr>
              <w:t>。 须按规定向采购人一次性提交履约保证金。</w:t>
            </w:r>
          </w:p>
        </w:tc>
      </w:tr>
      <w:tr w14:paraId="2F62CD4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B3E53B">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6DD2D6">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E3E43BD">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（1）中标人在中标通知书发出之日起30日历天内与采购人签订合同。</w:t>
            </w:r>
          </w:p>
          <w:p w14:paraId="35B9AE5C">
            <w:pPr>
              <w:shd w:val="clear"/>
              <w:snapToGrid w:val="0"/>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（2）中标人与采购人签订合同后，2日历天内将合同扫描件电子版发给采购代理机构：邮箱：</w:t>
            </w:r>
            <w:r>
              <w:rPr>
                <w:rFonts w:hint="eastAsia" w:ascii="宋体" w:hAnsi="宋体" w:eastAsia="宋体" w:cs="宋体"/>
                <w:b/>
                <w:color w:val="auto"/>
                <w:sz w:val="22"/>
                <w:szCs w:val="22"/>
                <w:highlight w:val="none"/>
                <w:u w:val="single"/>
              </w:rPr>
              <w:t>393354@qq.com</w:t>
            </w:r>
            <w:r>
              <w:rPr>
                <w:rFonts w:hint="eastAsia" w:ascii="宋体" w:hAnsi="宋体" w:eastAsia="宋体" w:cs="宋体"/>
                <w:color w:val="auto"/>
                <w:sz w:val="22"/>
                <w:szCs w:val="22"/>
                <w:highlight w:val="none"/>
              </w:rPr>
              <w:t>。</w:t>
            </w:r>
          </w:p>
        </w:tc>
      </w:tr>
      <w:tr w14:paraId="78DD236D">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C69C5B3">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D26AFA">
            <w:pPr>
              <w:shd w:val="clear"/>
              <w:snapToGrid w:val="0"/>
              <w:spacing w:line="360" w:lineRule="exact"/>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35EB18B">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认为采购文件、采购过程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日历天内以书面形式向采购人或采购代理机构提出质疑。</w:t>
            </w:r>
          </w:p>
          <w:p w14:paraId="02CDE83C">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或采购代理机构在收到投标人的书面质疑后三个工作日内作出答复，但答复的内容不得涉及商业秘密。质疑投标人对采购人或采购代理机构的答复不满意，可以在答复期满后十五个工作日内向采购人的采购监督管理部门投诉。</w:t>
            </w:r>
          </w:p>
          <w:p w14:paraId="3052F065">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tc>
      </w:tr>
      <w:tr w14:paraId="65218D9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A505CB">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DC2247">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F1BB5FC">
            <w:pPr>
              <w:shd w:val="clear"/>
              <w:snapToGrid w:val="0"/>
              <w:spacing w:line="36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合同签订后，采购人依法加强对合同履约进行管理，并在中标单位服务、项目验收等重要环节，如实填写《合同验收报告》（或考核资料），并及时向监管部门报告验收过程中遇到的问题。</w:t>
            </w:r>
          </w:p>
        </w:tc>
      </w:tr>
      <w:tr w14:paraId="368A8531">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41BC3C">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DF3698">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3E352A">
            <w:pPr>
              <w:shd w:val="clear"/>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7B248915">
      <w:pPr>
        <w:pStyle w:val="2"/>
        <w:shd w:val="clear"/>
        <w:spacing w:line="360" w:lineRule="auto"/>
        <w:rPr>
          <w:rFonts w:hint="eastAsia" w:ascii="宋体" w:hAnsi="宋体" w:eastAsia="宋体" w:cs="宋体"/>
          <w:color w:val="auto"/>
          <w:sz w:val="36"/>
          <w:szCs w:val="36"/>
          <w:highlight w:val="none"/>
        </w:rPr>
      </w:pPr>
      <w:bookmarkStart w:id="8" w:name="_Toc222114875"/>
      <w:bookmarkStart w:id="9" w:name="_Toc249758860"/>
      <w:bookmarkStart w:id="10" w:name="_Toc221356947"/>
      <w:bookmarkStart w:id="11" w:name="_Toc239145350"/>
      <w:bookmarkStart w:id="12" w:name="_Toc221374622"/>
      <w:bookmarkStart w:id="13" w:name="_Toc245722277"/>
      <w:bookmarkStart w:id="14" w:name="_Toc246261261"/>
      <w:bookmarkStart w:id="15" w:name="_Toc221356882"/>
      <w:bookmarkStart w:id="16" w:name="_Toc221423615"/>
      <w:bookmarkStart w:id="17" w:name="_Toc262105499"/>
      <w:bookmarkStart w:id="18" w:name="_Toc241404198"/>
      <w:bookmarkStart w:id="19" w:name="_Toc249758708"/>
      <w:bookmarkStart w:id="20" w:name="_Toc223715994"/>
      <w:bookmarkStart w:id="21" w:name="_Toc262049414"/>
      <w:bookmarkStart w:id="22" w:name="_Toc245191310"/>
      <w:r>
        <w:rPr>
          <w:rFonts w:hint="eastAsia" w:ascii="宋体" w:hAnsi="宋体" w:eastAsia="宋体" w:cs="宋体"/>
          <w:color w:val="auto"/>
          <w:sz w:val="36"/>
          <w:szCs w:val="36"/>
          <w:highlight w:val="none"/>
        </w:rPr>
        <w:br w:type="page"/>
      </w:r>
      <w:bookmarkStart w:id="23" w:name="_Toc28901"/>
      <w:r>
        <w:rPr>
          <w:rFonts w:hint="eastAsia" w:ascii="宋体" w:hAnsi="宋体" w:eastAsia="宋体" w:cs="宋体"/>
          <w:color w:val="auto"/>
          <w:sz w:val="36"/>
          <w:szCs w:val="36"/>
          <w:highlight w:val="none"/>
        </w:rPr>
        <w:t>第一部分  投标人须知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3ABD421">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24" w:name="_Toc245191311"/>
      <w:bookmarkStart w:id="25" w:name="_Toc222114876"/>
      <w:bookmarkStart w:id="26" w:name="_Toc249758861"/>
      <w:bookmarkStart w:id="27" w:name="_Toc262105500"/>
      <w:bookmarkStart w:id="28" w:name="_Toc249758709"/>
      <w:bookmarkStart w:id="29" w:name="_Toc241404199"/>
      <w:bookmarkStart w:id="30" w:name="_Toc246261262"/>
      <w:bookmarkStart w:id="31" w:name="_Toc245722278"/>
      <w:bookmarkStart w:id="32" w:name="_Toc239145351"/>
      <w:bookmarkStart w:id="33" w:name="_Toc221374623"/>
      <w:bookmarkStart w:id="34" w:name="_Toc223715995"/>
      <w:bookmarkStart w:id="35" w:name="_Toc221356883"/>
      <w:bookmarkStart w:id="36" w:name="_Toc221423616"/>
      <w:bookmarkStart w:id="37" w:name="_Toc221356948"/>
      <w:bookmarkStart w:id="38" w:name="_Toc262049415"/>
      <w:bookmarkStart w:id="39" w:name="_Toc25990"/>
      <w:r>
        <w:rPr>
          <w:rFonts w:hint="eastAsia" w:ascii="宋体" w:hAnsi="宋体" w:eastAsia="宋体" w:cs="宋体"/>
          <w:b/>
          <w:bCs/>
          <w:color w:val="auto"/>
          <w:sz w:val="22"/>
          <w:szCs w:val="22"/>
          <w:highlight w:val="none"/>
        </w:rPr>
        <w:t>一、说明</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1F5C63D">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1.本次采购是按照《温州市市属国有企业采购管理办法》等法律及有关法规组织和实施的国企采购（非政府采购项目）。</w:t>
      </w:r>
    </w:p>
    <w:p w14:paraId="3CC2DA3E">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u w:val="single"/>
        </w:rPr>
        <w:t>合格投标人</w:t>
      </w:r>
    </w:p>
    <w:p w14:paraId="1A3B4C53">
      <w:pPr>
        <w:shd w:val="clear"/>
        <w:tabs>
          <w:tab w:val="left" w:pos="54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合格投标人要求以本项目采购公告及投标人须知前附表中“</w:t>
      </w:r>
      <w:r>
        <w:rPr>
          <w:rFonts w:hint="eastAsia" w:ascii="宋体" w:hAnsi="宋体" w:eastAsia="宋体" w:cs="宋体"/>
          <w:b/>
          <w:bCs/>
          <w:color w:val="auto"/>
          <w:kern w:val="0"/>
          <w:sz w:val="22"/>
          <w:szCs w:val="22"/>
          <w:highlight w:val="none"/>
        </w:rPr>
        <w:t>投标人</w:t>
      </w:r>
      <w:r>
        <w:rPr>
          <w:rFonts w:hint="eastAsia" w:ascii="宋体" w:hAnsi="宋体" w:eastAsia="宋体" w:cs="宋体"/>
          <w:b/>
          <w:bCs/>
          <w:color w:val="auto"/>
          <w:kern w:val="0"/>
          <w:sz w:val="22"/>
          <w:szCs w:val="22"/>
          <w:highlight w:val="none"/>
          <w:lang w:val="zh-CN"/>
        </w:rPr>
        <w:t>资格要求”</w:t>
      </w:r>
      <w:r>
        <w:rPr>
          <w:rFonts w:hint="eastAsia" w:ascii="宋体" w:hAnsi="宋体" w:eastAsia="宋体" w:cs="宋体"/>
          <w:b/>
          <w:color w:val="auto"/>
          <w:sz w:val="22"/>
          <w:szCs w:val="22"/>
          <w:highlight w:val="none"/>
        </w:rPr>
        <w:t>描述为准。</w:t>
      </w:r>
    </w:p>
    <w:p w14:paraId="6FEBD0C9">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3.投标人代表</w:t>
      </w:r>
    </w:p>
    <w:p w14:paraId="44B5978B">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指全权代表投标人参加投标活动并签署投标文件的人。如果投标人代表不是法定代表人，须持有《法定代表人授权书》。</w:t>
      </w:r>
    </w:p>
    <w:p w14:paraId="05839853">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4.投标费用</w:t>
      </w:r>
    </w:p>
    <w:p w14:paraId="2477600D">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投标人应承担所有与准备和参加投标有关费用，不论投标的结果如何，采购人和采购代理机构均无义务和责任承担这些费用。</w:t>
      </w:r>
    </w:p>
    <w:p w14:paraId="12AC9988">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40" w:name="_Toc262105501"/>
      <w:bookmarkStart w:id="41" w:name="_Toc249758862"/>
      <w:bookmarkStart w:id="42" w:name="_Toc245722279"/>
      <w:bookmarkStart w:id="43" w:name="_Toc221374624"/>
      <w:bookmarkStart w:id="44" w:name="_Toc241404200"/>
      <w:bookmarkStart w:id="45" w:name="_Toc245191312"/>
      <w:bookmarkStart w:id="46" w:name="_Toc246261263"/>
      <w:bookmarkStart w:id="47" w:name="_Toc221356949"/>
      <w:bookmarkStart w:id="48" w:name="_Toc221423617"/>
      <w:bookmarkStart w:id="49" w:name="_Toc223715996"/>
      <w:bookmarkStart w:id="50" w:name="_Toc222114877"/>
      <w:bookmarkStart w:id="51" w:name="_Toc239145352"/>
      <w:bookmarkStart w:id="52" w:name="_Toc262049416"/>
      <w:bookmarkStart w:id="53" w:name="_Toc6168"/>
      <w:bookmarkStart w:id="54" w:name="_Toc221356884"/>
      <w:bookmarkStart w:id="55" w:name="_Toc249758710"/>
      <w:r>
        <w:rPr>
          <w:rFonts w:hint="eastAsia" w:ascii="宋体" w:hAnsi="宋体" w:eastAsia="宋体" w:cs="宋体"/>
          <w:b/>
          <w:bCs/>
          <w:color w:val="auto"/>
          <w:sz w:val="22"/>
          <w:szCs w:val="22"/>
          <w:highlight w:val="none"/>
        </w:rPr>
        <w:t>二、采购文件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28AC2D6">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1.采购文件由采购文件目录所列内容及相关资料组成。</w:t>
      </w:r>
    </w:p>
    <w:p w14:paraId="206149B6">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4F5586E9">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对采购文件如有疑点或未尽事宜要求澄清，或认为有必要进行说明或交流，投标人可以在采购公告发出之日（采购公告发布当天不算）起6个日历天内，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1F25878A">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7DCD8C60">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3.1</w:t>
      </w:r>
      <w:r>
        <w:rPr>
          <w:rFonts w:hint="eastAsia" w:ascii="宋体" w:hAnsi="宋体" w:eastAsia="宋体" w:cs="宋体"/>
          <w:color w:val="auto"/>
          <w:sz w:val="22"/>
          <w:szCs w:val="22"/>
          <w:highlight w:val="none"/>
        </w:rPr>
        <w:t>在投标截止期三天前，采购人无论是出于何种原因，均可对采购文件用补充文件的方式进行修改，并在乐采云平台、温州国企采购平台、温州市现代服务业发展集团有限公司网站、浙江东方职业技术学院网站上发布更正公告。该澄清和修改的内容为采购文件的组成部分。不足3日的，采购人将顺延提交投标文件的截止时间。采购人可以视采购具体情况在采购文件要求提交截止时间前，作出延长投标截止时间和开标时间的决定，并在乐采云平台、温州国企采购平台、温州市现代服务业发展集团有限公司网站、浙江东方职业技术学院网站上发布变更公告</w:t>
      </w:r>
      <w:r>
        <w:rPr>
          <w:rFonts w:hint="eastAsia" w:ascii="宋体" w:hAnsi="宋体" w:eastAsia="宋体" w:cs="宋体"/>
          <w:b/>
          <w:color w:val="auto"/>
          <w:sz w:val="22"/>
          <w:szCs w:val="22"/>
          <w:highlight w:val="none"/>
        </w:rPr>
        <w:t>。</w:t>
      </w:r>
    </w:p>
    <w:p w14:paraId="518F3782">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3.2采购文件如有补充更正均见乐采云平台、温州国企采购平台、温州市现代服务业发展集团有限公司网站、浙江东方职业技术学院网站所发布的更正通知。投标人须在开标前自行查看是否有补充更正文件，并按补充更正文件要求投标，否则责任自负</w:t>
      </w:r>
      <w:r>
        <w:rPr>
          <w:rFonts w:hint="eastAsia" w:ascii="宋体" w:hAnsi="宋体" w:eastAsia="宋体" w:cs="宋体"/>
          <w:color w:val="auto"/>
          <w:sz w:val="22"/>
          <w:szCs w:val="22"/>
          <w:highlight w:val="none"/>
        </w:rPr>
        <w:t>。</w:t>
      </w:r>
    </w:p>
    <w:p w14:paraId="7E5160FF">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56" w:name="_Toc246261264"/>
      <w:bookmarkStart w:id="57" w:name="_Toc262049417"/>
      <w:bookmarkStart w:id="58" w:name="_Toc239145353"/>
      <w:bookmarkStart w:id="59" w:name="_Toc249758863"/>
      <w:bookmarkStart w:id="60" w:name="_Toc221356950"/>
      <w:bookmarkStart w:id="61" w:name="_Toc221356885"/>
      <w:bookmarkStart w:id="62" w:name="_Toc222114878"/>
      <w:bookmarkStart w:id="63" w:name="_Toc221423618"/>
      <w:bookmarkStart w:id="64" w:name="_Toc223715997"/>
      <w:bookmarkStart w:id="65" w:name="_Toc245191313"/>
      <w:bookmarkStart w:id="66" w:name="_Toc221374625"/>
      <w:bookmarkStart w:id="67" w:name="_Toc241404201"/>
      <w:bookmarkStart w:id="68" w:name="_Toc262105502"/>
      <w:bookmarkStart w:id="69" w:name="_Toc249758711"/>
      <w:bookmarkStart w:id="70" w:name="_Toc28720"/>
      <w:bookmarkStart w:id="71" w:name="_Toc245722280"/>
      <w:r>
        <w:rPr>
          <w:rFonts w:hint="eastAsia" w:ascii="宋体" w:hAnsi="宋体" w:eastAsia="宋体" w:cs="宋体"/>
          <w:b/>
          <w:bCs/>
          <w:color w:val="auto"/>
          <w:sz w:val="22"/>
          <w:szCs w:val="22"/>
          <w:highlight w:val="none"/>
        </w:rPr>
        <w:t>三、投标文件的编制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303109F">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1.投标人应认真阅读采购文件中所有事项格式、条款和技术规范等。</w:t>
      </w:r>
      <w:r>
        <w:rPr>
          <w:rFonts w:hint="eastAsia" w:ascii="宋体" w:hAnsi="宋体" w:eastAsia="宋体" w:cs="宋体"/>
          <w:b/>
          <w:color w:val="auto"/>
          <w:sz w:val="22"/>
          <w:szCs w:val="22"/>
          <w:highlight w:val="none"/>
        </w:rPr>
        <w:t>投标人没有按照采购文件要求提交全部资料，或者没有对采购文件各个方面做出实质性响应，导致投标被拒绝的风险由投标人自行承担。</w:t>
      </w:r>
    </w:p>
    <w:p w14:paraId="77A17282">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2.投标人法律责任</w:t>
      </w:r>
    </w:p>
    <w:p w14:paraId="07B2E1C3">
      <w:pPr>
        <w:shd w:val="clear"/>
        <w:tabs>
          <w:tab w:val="left" w:pos="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p>
    <w:p w14:paraId="748BA4F8">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3.投标文件的构成：</w:t>
      </w:r>
    </w:p>
    <w:p w14:paraId="2C44A19A">
      <w:pPr>
        <w:shd w:val="clear"/>
        <w:tabs>
          <w:tab w:val="left" w:pos="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3.1投标文件由</w:t>
      </w:r>
      <w:r>
        <w:rPr>
          <w:rFonts w:hint="eastAsia" w:ascii="宋体" w:hAnsi="宋体" w:eastAsia="宋体" w:cs="宋体"/>
          <w:b/>
          <w:bCs/>
          <w:color w:val="auto"/>
          <w:kern w:val="0"/>
          <w:sz w:val="22"/>
          <w:szCs w:val="22"/>
          <w:highlight w:val="none"/>
        </w:rPr>
        <w:t>技术资信文件</w:t>
      </w:r>
      <w:r>
        <w:rPr>
          <w:rFonts w:hint="eastAsia" w:ascii="宋体" w:hAnsi="宋体" w:eastAsia="宋体" w:cs="宋体"/>
          <w:b/>
          <w:color w:val="auto"/>
          <w:sz w:val="22"/>
          <w:szCs w:val="22"/>
          <w:highlight w:val="none"/>
        </w:rPr>
        <w:t>、报价文件二部分构成：</w:t>
      </w:r>
    </w:p>
    <w:p w14:paraId="5FF84CD0">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r>
        <w:rPr>
          <w:rFonts w:hint="eastAsia" w:ascii="宋体" w:hAnsi="宋体" w:eastAsia="宋体" w:cs="宋体"/>
          <w:b/>
          <w:bCs/>
          <w:color w:val="auto"/>
          <w:kern w:val="0"/>
          <w:sz w:val="22"/>
          <w:szCs w:val="22"/>
          <w:highlight w:val="none"/>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2769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3A7A66C">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872" w:type="dxa"/>
            <w:tcBorders>
              <w:top w:val="single" w:color="auto" w:sz="4" w:space="0"/>
              <w:left w:val="single" w:color="auto" w:sz="4" w:space="0"/>
              <w:bottom w:val="single" w:color="auto" w:sz="4" w:space="0"/>
              <w:right w:val="single" w:color="auto" w:sz="4" w:space="0"/>
            </w:tcBorders>
            <w:vAlign w:val="center"/>
          </w:tcPr>
          <w:p w14:paraId="61A8556C">
            <w:pPr>
              <w:shd w:val="clear"/>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c>
          <w:tcPr>
            <w:tcW w:w="1245" w:type="dxa"/>
            <w:tcBorders>
              <w:top w:val="single" w:color="auto" w:sz="4" w:space="0"/>
              <w:left w:val="single" w:color="auto" w:sz="4" w:space="0"/>
              <w:bottom w:val="single" w:color="auto" w:sz="4" w:space="0"/>
              <w:right w:val="single" w:color="auto" w:sz="4" w:space="0"/>
            </w:tcBorders>
            <w:vAlign w:val="center"/>
          </w:tcPr>
          <w:p w14:paraId="11E2086C">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491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97E283">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1</w:t>
            </w:r>
          </w:p>
        </w:tc>
        <w:tc>
          <w:tcPr>
            <w:tcW w:w="7872" w:type="dxa"/>
            <w:tcBorders>
              <w:top w:val="single" w:color="auto" w:sz="4" w:space="0"/>
              <w:left w:val="single" w:color="auto" w:sz="4" w:space="0"/>
              <w:bottom w:val="single" w:color="auto" w:sz="4" w:space="0"/>
              <w:right w:val="single" w:color="auto" w:sz="4" w:space="0"/>
            </w:tcBorders>
            <w:vAlign w:val="center"/>
          </w:tcPr>
          <w:p w14:paraId="37D98818">
            <w:pPr>
              <w:shd w:val="clear"/>
              <w:spacing w:line="360" w:lineRule="exact"/>
              <w:ind w:left="9" w:hanging="9" w:hangingChars="4"/>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资格部分</w:t>
            </w:r>
          </w:p>
        </w:tc>
        <w:tc>
          <w:tcPr>
            <w:tcW w:w="1245" w:type="dxa"/>
            <w:vMerge w:val="restart"/>
            <w:tcBorders>
              <w:top w:val="single" w:color="auto" w:sz="4" w:space="0"/>
              <w:left w:val="single" w:color="auto" w:sz="4" w:space="0"/>
              <w:right w:val="single" w:color="auto" w:sz="4" w:space="0"/>
            </w:tcBorders>
            <w:vAlign w:val="center"/>
          </w:tcPr>
          <w:p w14:paraId="2F46C5A7">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附件一</w:t>
            </w:r>
          </w:p>
        </w:tc>
      </w:tr>
      <w:tr w14:paraId="1F3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0C552A7">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a）</w:t>
            </w:r>
          </w:p>
        </w:tc>
        <w:tc>
          <w:tcPr>
            <w:tcW w:w="7872" w:type="dxa"/>
            <w:tcBorders>
              <w:top w:val="single" w:color="auto" w:sz="4" w:space="0"/>
              <w:left w:val="single" w:color="auto" w:sz="4" w:space="0"/>
              <w:bottom w:val="single" w:color="auto" w:sz="4" w:space="0"/>
              <w:right w:val="single" w:color="auto" w:sz="4" w:space="0"/>
            </w:tcBorders>
            <w:vAlign w:val="center"/>
          </w:tcPr>
          <w:p w14:paraId="5D00CFD2">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法定代表人声明书或法定代表人授权书</w:t>
            </w:r>
          </w:p>
        </w:tc>
        <w:tc>
          <w:tcPr>
            <w:tcW w:w="1245" w:type="dxa"/>
            <w:vMerge w:val="continue"/>
            <w:tcBorders>
              <w:left w:val="single" w:color="auto" w:sz="4" w:space="0"/>
              <w:right w:val="single" w:color="auto" w:sz="4" w:space="0"/>
            </w:tcBorders>
            <w:vAlign w:val="center"/>
          </w:tcPr>
          <w:p w14:paraId="03318E93">
            <w:pPr>
              <w:shd w:val="clear"/>
              <w:spacing w:line="360" w:lineRule="exact"/>
              <w:rPr>
                <w:rFonts w:hint="eastAsia" w:ascii="宋体" w:hAnsi="宋体" w:eastAsia="宋体" w:cs="宋体"/>
                <w:color w:val="auto"/>
                <w:sz w:val="22"/>
                <w:szCs w:val="22"/>
                <w:highlight w:val="none"/>
              </w:rPr>
            </w:pPr>
          </w:p>
        </w:tc>
      </w:tr>
      <w:tr w14:paraId="6E2C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6468F03">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b）</w:t>
            </w:r>
          </w:p>
        </w:tc>
        <w:tc>
          <w:tcPr>
            <w:tcW w:w="7872" w:type="dxa"/>
            <w:tcBorders>
              <w:top w:val="single" w:color="auto" w:sz="4" w:space="0"/>
              <w:left w:val="single" w:color="auto" w:sz="4" w:space="0"/>
              <w:bottom w:val="single" w:color="auto" w:sz="4" w:space="0"/>
              <w:right w:val="single" w:color="auto" w:sz="4" w:space="0"/>
            </w:tcBorders>
            <w:vAlign w:val="center"/>
          </w:tcPr>
          <w:p w14:paraId="7BE92DCB">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营业执照（或事业法人登记证书或其他工商等登记证明材料；自然人参与采购，提供身份证）复印件、税务登记证（或其他缴纳证明材料）复印件、社保登记证（或其他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vAlign w:val="center"/>
          </w:tcPr>
          <w:p w14:paraId="3B8EBE6E">
            <w:pPr>
              <w:shd w:val="clear"/>
              <w:spacing w:line="360" w:lineRule="exact"/>
              <w:rPr>
                <w:rFonts w:hint="eastAsia" w:ascii="宋体" w:hAnsi="宋体" w:eastAsia="宋体" w:cs="宋体"/>
                <w:color w:val="auto"/>
                <w:sz w:val="22"/>
                <w:szCs w:val="22"/>
                <w:highlight w:val="none"/>
              </w:rPr>
            </w:pPr>
          </w:p>
        </w:tc>
      </w:tr>
      <w:tr w14:paraId="4E94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6B39A2E">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c）</w:t>
            </w:r>
          </w:p>
        </w:tc>
        <w:tc>
          <w:tcPr>
            <w:tcW w:w="7872" w:type="dxa"/>
            <w:tcBorders>
              <w:top w:val="single" w:color="auto" w:sz="4" w:space="0"/>
              <w:left w:val="single" w:color="auto" w:sz="4" w:space="0"/>
              <w:bottom w:val="single" w:color="auto" w:sz="4" w:space="0"/>
              <w:right w:val="single" w:color="auto" w:sz="4" w:space="0"/>
            </w:tcBorders>
            <w:vAlign w:val="center"/>
          </w:tcPr>
          <w:p w14:paraId="232EAAB5">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具有良好的商业信誉和健全的财务会计制度的承诺函</w:t>
            </w:r>
          </w:p>
        </w:tc>
        <w:tc>
          <w:tcPr>
            <w:tcW w:w="1245" w:type="dxa"/>
            <w:vMerge w:val="continue"/>
            <w:tcBorders>
              <w:left w:val="single" w:color="auto" w:sz="4" w:space="0"/>
              <w:right w:val="single" w:color="auto" w:sz="4" w:space="0"/>
            </w:tcBorders>
            <w:vAlign w:val="center"/>
          </w:tcPr>
          <w:p w14:paraId="5057ACFB">
            <w:pPr>
              <w:shd w:val="clear"/>
              <w:spacing w:line="360" w:lineRule="exact"/>
              <w:rPr>
                <w:rFonts w:hint="eastAsia" w:ascii="宋体" w:hAnsi="宋体" w:eastAsia="宋体" w:cs="宋体"/>
                <w:color w:val="auto"/>
                <w:sz w:val="22"/>
                <w:szCs w:val="22"/>
                <w:highlight w:val="none"/>
              </w:rPr>
            </w:pPr>
          </w:p>
        </w:tc>
      </w:tr>
      <w:tr w14:paraId="1FC3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EFB668A">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d）</w:t>
            </w:r>
          </w:p>
        </w:tc>
        <w:tc>
          <w:tcPr>
            <w:tcW w:w="7872" w:type="dxa"/>
            <w:tcBorders>
              <w:top w:val="single" w:color="auto" w:sz="4" w:space="0"/>
              <w:left w:val="single" w:color="auto" w:sz="4" w:space="0"/>
              <w:bottom w:val="single" w:color="auto" w:sz="4" w:space="0"/>
              <w:right w:val="single" w:color="auto" w:sz="4" w:space="0"/>
            </w:tcBorders>
            <w:vAlign w:val="center"/>
          </w:tcPr>
          <w:p w14:paraId="2D998E08">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具有履行合同所必需的设备和专业技术、售后保障等能力的承诺函</w:t>
            </w:r>
          </w:p>
        </w:tc>
        <w:tc>
          <w:tcPr>
            <w:tcW w:w="1245" w:type="dxa"/>
            <w:vMerge w:val="continue"/>
            <w:tcBorders>
              <w:left w:val="single" w:color="auto" w:sz="4" w:space="0"/>
              <w:right w:val="single" w:color="auto" w:sz="4" w:space="0"/>
            </w:tcBorders>
            <w:vAlign w:val="center"/>
          </w:tcPr>
          <w:p w14:paraId="76EA90D6">
            <w:pPr>
              <w:shd w:val="clear"/>
              <w:spacing w:line="360" w:lineRule="exact"/>
              <w:rPr>
                <w:rFonts w:hint="eastAsia" w:ascii="宋体" w:hAnsi="宋体" w:eastAsia="宋体" w:cs="宋体"/>
                <w:color w:val="auto"/>
                <w:sz w:val="22"/>
                <w:szCs w:val="22"/>
                <w:highlight w:val="none"/>
              </w:rPr>
            </w:pPr>
          </w:p>
        </w:tc>
      </w:tr>
      <w:tr w14:paraId="4CBE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1F97C0C">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e）</w:t>
            </w:r>
          </w:p>
        </w:tc>
        <w:tc>
          <w:tcPr>
            <w:tcW w:w="7872" w:type="dxa"/>
            <w:tcBorders>
              <w:top w:val="single" w:color="auto" w:sz="4" w:space="0"/>
              <w:left w:val="single" w:color="auto" w:sz="4" w:space="0"/>
              <w:bottom w:val="single" w:color="auto" w:sz="4" w:space="0"/>
              <w:right w:val="single" w:color="auto" w:sz="4" w:space="0"/>
            </w:tcBorders>
            <w:vAlign w:val="center"/>
          </w:tcPr>
          <w:p w14:paraId="7B18A0BD">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具有依法缴纳税收和社会保障资金的良好记录的承诺函</w:t>
            </w:r>
          </w:p>
        </w:tc>
        <w:tc>
          <w:tcPr>
            <w:tcW w:w="1245" w:type="dxa"/>
            <w:vMerge w:val="continue"/>
            <w:tcBorders>
              <w:left w:val="single" w:color="auto" w:sz="4" w:space="0"/>
              <w:right w:val="single" w:color="auto" w:sz="4" w:space="0"/>
            </w:tcBorders>
            <w:vAlign w:val="center"/>
          </w:tcPr>
          <w:p w14:paraId="7ADB5E54">
            <w:pPr>
              <w:shd w:val="clear"/>
              <w:spacing w:line="360" w:lineRule="exact"/>
              <w:rPr>
                <w:rFonts w:hint="eastAsia" w:ascii="宋体" w:hAnsi="宋体" w:eastAsia="宋体" w:cs="宋体"/>
                <w:color w:val="auto"/>
                <w:sz w:val="22"/>
                <w:szCs w:val="22"/>
                <w:highlight w:val="none"/>
              </w:rPr>
            </w:pPr>
          </w:p>
        </w:tc>
      </w:tr>
      <w:tr w14:paraId="7E8F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C776F4C">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f）</w:t>
            </w:r>
          </w:p>
        </w:tc>
        <w:tc>
          <w:tcPr>
            <w:tcW w:w="7872" w:type="dxa"/>
            <w:tcBorders>
              <w:top w:val="single" w:color="auto" w:sz="4" w:space="0"/>
              <w:left w:val="single" w:color="auto" w:sz="4" w:space="0"/>
              <w:bottom w:val="single" w:color="auto" w:sz="4" w:space="0"/>
              <w:right w:val="single" w:color="auto" w:sz="4" w:space="0"/>
            </w:tcBorders>
            <w:vAlign w:val="center"/>
          </w:tcPr>
          <w:p w14:paraId="1CF5941F">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参加采购、招投标等活动前三年内（新成立不满三年的组织机构自成立之日起算）在经营活动中没有重大违法记录、严重失信行为和行贿记录的声明函</w:t>
            </w:r>
          </w:p>
        </w:tc>
        <w:tc>
          <w:tcPr>
            <w:tcW w:w="1245" w:type="dxa"/>
            <w:vMerge w:val="continue"/>
            <w:tcBorders>
              <w:left w:val="single" w:color="auto" w:sz="4" w:space="0"/>
              <w:right w:val="single" w:color="auto" w:sz="4" w:space="0"/>
            </w:tcBorders>
            <w:vAlign w:val="center"/>
          </w:tcPr>
          <w:p w14:paraId="1440371D">
            <w:pPr>
              <w:shd w:val="clear"/>
              <w:spacing w:line="360" w:lineRule="exact"/>
              <w:rPr>
                <w:rFonts w:hint="eastAsia" w:ascii="宋体" w:hAnsi="宋体" w:eastAsia="宋体" w:cs="宋体"/>
                <w:color w:val="auto"/>
                <w:sz w:val="22"/>
                <w:szCs w:val="22"/>
                <w:highlight w:val="none"/>
              </w:rPr>
            </w:pPr>
          </w:p>
        </w:tc>
      </w:tr>
      <w:tr w14:paraId="322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373FC8">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g）</w:t>
            </w:r>
          </w:p>
        </w:tc>
        <w:tc>
          <w:tcPr>
            <w:tcW w:w="7872" w:type="dxa"/>
            <w:tcBorders>
              <w:top w:val="single" w:color="auto" w:sz="4" w:space="0"/>
              <w:left w:val="single" w:color="auto" w:sz="4" w:space="0"/>
              <w:bottom w:val="single" w:color="auto" w:sz="4" w:space="0"/>
              <w:right w:val="single" w:color="auto" w:sz="4" w:space="0"/>
            </w:tcBorders>
            <w:vAlign w:val="center"/>
          </w:tcPr>
          <w:p w14:paraId="6696BABD">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vAlign w:val="center"/>
          </w:tcPr>
          <w:p w14:paraId="3F86D1C2">
            <w:pPr>
              <w:shd w:val="clear"/>
              <w:spacing w:line="360" w:lineRule="exact"/>
              <w:rPr>
                <w:rFonts w:hint="eastAsia" w:ascii="宋体" w:hAnsi="宋体" w:eastAsia="宋体" w:cs="宋体"/>
                <w:color w:val="auto"/>
                <w:sz w:val="22"/>
                <w:szCs w:val="22"/>
                <w:highlight w:val="none"/>
              </w:rPr>
            </w:pPr>
          </w:p>
        </w:tc>
      </w:tr>
      <w:tr w14:paraId="4AA9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774ED4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872" w:type="dxa"/>
            <w:tcBorders>
              <w:top w:val="single" w:color="auto" w:sz="4" w:space="0"/>
              <w:left w:val="single" w:color="auto" w:sz="4" w:space="0"/>
              <w:bottom w:val="single" w:color="auto" w:sz="4" w:space="0"/>
              <w:right w:val="single" w:color="auto" w:sz="4" w:space="0"/>
            </w:tcBorders>
            <w:vAlign w:val="center"/>
          </w:tcPr>
          <w:p w14:paraId="2BBF783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w:t>
            </w:r>
          </w:p>
        </w:tc>
        <w:tc>
          <w:tcPr>
            <w:tcW w:w="1245" w:type="dxa"/>
            <w:tcBorders>
              <w:top w:val="single" w:color="auto" w:sz="4" w:space="0"/>
              <w:left w:val="single" w:color="auto" w:sz="4" w:space="0"/>
              <w:bottom w:val="single" w:color="auto" w:sz="4" w:space="0"/>
              <w:right w:val="single" w:color="auto" w:sz="4" w:space="0"/>
            </w:tcBorders>
            <w:vAlign w:val="center"/>
          </w:tcPr>
          <w:p w14:paraId="6B738B0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附件二</w:t>
            </w:r>
          </w:p>
        </w:tc>
      </w:tr>
      <w:tr w14:paraId="4679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3188A8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7872" w:type="dxa"/>
            <w:tcBorders>
              <w:top w:val="single" w:color="auto" w:sz="4" w:space="0"/>
              <w:left w:val="single" w:color="auto" w:sz="4" w:space="0"/>
              <w:bottom w:val="single" w:color="auto" w:sz="4" w:space="0"/>
              <w:right w:val="single" w:color="auto" w:sz="4" w:space="0"/>
            </w:tcBorders>
            <w:vAlign w:val="center"/>
          </w:tcPr>
          <w:p w14:paraId="3F86C704">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技术规格、商务条款偏离表</w:t>
            </w:r>
          </w:p>
        </w:tc>
        <w:tc>
          <w:tcPr>
            <w:tcW w:w="1245" w:type="dxa"/>
            <w:tcBorders>
              <w:top w:val="single" w:color="auto" w:sz="4" w:space="0"/>
              <w:left w:val="single" w:color="auto" w:sz="4" w:space="0"/>
              <w:right w:val="single" w:color="auto" w:sz="4" w:space="0"/>
            </w:tcBorders>
            <w:vAlign w:val="center"/>
          </w:tcPr>
          <w:p w14:paraId="308DAED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附件四</w:t>
            </w:r>
          </w:p>
        </w:tc>
      </w:tr>
      <w:tr w14:paraId="0804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E81F4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7872" w:type="dxa"/>
            <w:tcBorders>
              <w:top w:val="single" w:color="auto" w:sz="4" w:space="0"/>
              <w:left w:val="single" w:color="auto" w:sz="4" w:space="0"/>
              <w:bottom w:val="single" w:color="auto" w:sz="4" w:space="0"/>
              <w:right w:val="single" w:color="auto" w:sz="4" w:space="0"/>
            </w:tcBorders>
            <w:vAlign w:val="center"/>
          </w:tcPr>
          <w:p w14:paraId="3A05014C">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项目负责人资历表</w:t>
            </w:r>
          </w:p>
        </w:tc>
        <w:tc>
          <w:tcPr>
            <w:tcW w:w="1245" w:type="dxa"/>
            <w:vMerge w:val="restart"/>
            <w:tcBorders>
              <w:left w:val="single" w:color="auto" w:sz="4" w:space="0"/>
              <w:right w:val="single" w:color="auto" w:sz="4" w:space="0"/>
            </w:tcBorders>
            <w:vAlign w:val="center"/>
          </w:tcPr>
          <w:p w14:paraId="6D0F88EA">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附件五</w:t>
            </w:r>
          </w:p>
        </w:tc>
      </w:tr>
      <w:tr w14:paraId="49EB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A8BEDC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7872" w:type="dxa"/>
            <w:tcBorders>
              <w:top w:val="single" w:color="auto" w:sz="4" w:space="0"/>
              <w:left w:val="single" w:color="auto" w:sz="4" w:space="0"/>
              <w:bottom w:val="single" w:color="auto" w:sz="4" w:space="0"/>
              <w:right w:val="single" w:color="auto" w:sz="4" w:space="0"/>
            </w:tcBorders>
            <w:vAlign w:val="center"/>
          </w:tcPr>
          <w:p w14:paraId="552CC86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项目团队人员配置一览表</w:t>
            </w:r>
          </w:p>
        </w:tc>
        <w:tc>
          <w:tcPr>
            <w:tcW w:w="1245" w:type="dxa"/>
            <w:vMerge w:val="continue"/>
            <w:tcBorders>
              <w:left w:val="single" w:color="auto" w:sz="4" w:space="0"/>
              <w:right w:val="single" w:color="auto" w:sz="4" w:space="0"/>
            </w:tcBorders>
            <w:vAlign w:val="center"/>
          </w:tcPr>
          <w:p w14:paraId="3210CF3E">
            <w:pPr>
              <w:shd w:val="clear"/>
              <w:spacing w:line="360" w:lineRule="exact"/>
              <w:rPr>
                <w:rFonts w:hint="eastAsia" w:ascii="宋体" w:hAnsi="宋体" w:eastAsia="宋体" w:cs="宋体"/>
                <w:color w:val="auto"/>
                <w:sz w:val="22"/>
                <w:szCs w:val="22"/>
                <w:highlight w:val="none"/>
              </w:rPr>
            </w:pPr>
          </w:p>
        </w:tc>
      </w:tr>
      <w:tr w14:paraId="7FB9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9DE955">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7872" w:type="dxa"/>
            <w:tcBorders>
              <w:top w:val="single" w:color="auto" w:sz="4" w:space="0"/>
              <w:left w:val="single" w:color="auto" w:sz="4" w:space="0"/>
              <w:bottom w:val="single" w:color="auto" w:sz="4" w:space="0"/>
              <w:right w:val="single" w:color="auto" w:sz="4" w:space="0"/>
            </w:tcBorders>
            <w:shd w:val="clear" w:color="auto" w:fill="auto"/>
            <w:vAlign w:val="center"/>
          </w:tcPr>
          <w:p w14:paraId="250D45D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类似项目业绩</w:t>
            </w:r>
            <w:r>
              <w:rPr>
                <w:rFonts w:hint="eastAsia" w:ascii="宋体" w:hAnsi="宋体" w:eastAsia="宋体" w:cs="宋体"/>
                <w:color w:val="auto"/>
                <w:sz w:val="22"/>
                <w:szCs w:val="22"/>
                <w:highlight w:val="none"/>
              </w:rPr>
              <w:t>表</w:t>
            </w:r>
          </w:p>
        </w:tc>
        <w:tc>
          <w:tcPr>
            <w:tcW w:w="1245" w:type="dxa"/>
            <w:tcBorders>
              <w:left w:val="single" w:color="auto" w:sz="4" w:space="0"/>
              <w:right w:val="single" w:color="auto" w:sz="4" w:space="0"/>
            </w:tcBorders>
            <w:vAlign w:val="center"/>
          </w:tcPr>
          <w:p w14:paraId="093CE20F">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附件六</w:t>
            </w:r>
          </w:p>
        </w:tc>
      </w:tr>
      <w:tr w14:paraId="217D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EEFB115">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7872" w:type="dxa"/>
            <w:tcBorders>
              <w:top w:val="single" w:color="auto" w:sz="4" w:space="0"/>
              <w:left w:val="single" w:color="auto" w:sz="4" w:space="0"/>
              <w:bottom w:val="single" w:color="auto" w:sz="4" w:space="0"/>
              <w:right w:val="single" w:color="auto" w:sz="4" w:space="0"/>
            </w:tcBorders>
            <w:shd w:val="clear" w:color="auto" w:fill="auto"/>
            <w:vAlign w:val="top"/>
          </w:tcPr>
          <w:p w14:paraId="5383BC19">
            <w:pPr>
              <w:keepNext w:val="0"/>
              <w:keepLines w:val="0"/>
              <w:pageBreakBefore w:val="0"/>
              <w:widowControl w:val="0"/>
              <w:shd w:val="clear"/>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供货范围详细清单</w:t>
            </w:r>
          </w:p>
        </w:tc>
        <w:tc>
          <w:tcPr>
            <w:tcW w:w="1245" w:type="dxa"/>
            <w:vMerge w:val="restart"/>
            <w:tcBorders>
              <w:left w:val="single" w:color="auto" w:sz="4" w:space="0"/>
              <w:right w:val="single" w:color="auto" w:sz="4" w:space="0"/>
            </w:tcBorders>
            <w:shd w:val="clear" w:color="auto" w:fill="auto"/>
            <w:vAlign w:val="center"/>
          </w:tcPr>
          <w:p w14:paraId="02743434">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七</w:t>
            </w:r>
          </w:p>
        </w:tc>
      </w:tr>
      <w:tr w14:paraId="29B4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7F20E7F">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7872" w:type="dxa"/>
            <w:tcBorders>
              <w:top w:val="single" w:color="auto" w:sz="4" w:space="0"/>
              <w:left w:val="single" w:color="auto" w:sz="4" w:space="0"/>
              <w:bottom w:val="single" w:color="auto" w:sz="4" w:space="0"/>
              <w:right w:val="single" w:color="auto" w:sz="4" w:space="0"/>
            </w:tcBorders>
            <w:shd w:val="clear" w:color="auto" w:fill="auto"/>
            <w:vAlign w:val="top"/>
          </w:tcPr>
          <w:p w14:paraId="65DD5102">
            <w:pPr>
              <w:keepNext w:val="0"/>
              <w:keepLines w:val="0"/>
              <w:pageBreakBefore w:val="0"/>
              <w:widowControl w:val="0"/>
              <w:shd w:val="clear"/>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随机备品备件和专用工具清单（如有）</w:t>
            </w:r>
          </w:p>
        </w:tc>
        <w:tc>
          <w:tcPr>
            <w:tcW w:w="1245" w:type="dxa"/>
            <w:vMerge w:val="continue"/>
            <w:tcBorders>
              <w:left w:val="single" w:color="auto" w:sz="4" w:space="0"/>
              <w:right w:val="single" w:color="auto" w:sz="4" w:space="0"/>
            </w:tcBorders>
            <w:vAlign w:val="center"/>
          </w:tcPr>
          <w:p w14:paraId="3EE570DA">
            <w:pPr>
              <w:shd w:val="clear"/>
              <w:spacing w:line="360" w:lineRule="exact"/>
              <w:jc w:val="center"/>
              <w:rPr>
                <w:rFonts w:hint="eastAsia" w:ascii="宋体" w:hAnsi="宋体" w:eastAsia="宋体" w:cs="宋体"/>
                <w:color w:val="auto"/>
                <w:sz w:val="22"/>
                <w:szCs w:val="22"/>
                <w:highlight w:val="none"/>
              </w:rPr>
            </w:pPr>
          </w:p>
        </w:tc>
      </w:tr>
      <w:tr w14:paraId="0B8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44AC636">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7872" w:type="dxa"/>
            <w:tcBorders>
              <w:top w:val="single" w:color="auto" w:sz="4" w:space="0"/>
              <w:left w:val="single" w:color="auto" w:sz="4" w:space="0"/>
              <w:bottom w:val="single" w:color="auto" w:sz="4" w:space="0"/>
              <w:right w:val="single" w:color="auto" w:sz="4" w:space="0"/>
            </w:tcBorders>
            <w:vAlign w:val="center"/>
          </w:tcPr>
          <w:p w14:paraId="53A2E96C">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资信证明文件（本部分为技术资信评分内容，投标人根据自身实际情况提供）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vAlign w:val="center"/>
          </w:tcPr>
          <w:p w14:paraId="2BE1ABFA">
            <w:pPr>
              <w:shd w:val="clear"/>
              <w:spacing w:line="360" w:lineRule="exact"/>
              <w:jc w:val="center"/>
              <w:rPr>
                <w:rFonts w:hint="eastAsia" w:ascii="宋体" w:hAnsi="宋体" w:eastAsia="宋体" w:cs="宋体"/>
                <w:color w:val="auto"/>
                <w:sz w:val="22"/>
                <w:szCs w:val="22"/>
                <w:highlight w:val="none"/>
              </w:rPr>
            </w:pPr>
          </w:p>
        </w:tc>
      </w:tr>
      <w:tr w14:paraId="6739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FE68AC7">
            <w:pPr>
              <w:shd w:val="clea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7872" w:type="dxa"/>
            <w:tcBorders>
              <w:top w:val="single" w:color="auto" w:sz="4" w:space="0"/>
              <w:left w:val="single" w:color="auto" w:sz="4" w:space="0"/>
              <w:bottom w:val="single" w:color="auto" w:sz="4" w:space="0"/>
              <w:right w:val="single" w:color="auto" w:sz="4" w:space="0"/>
            </w:tcBorders>
            <w:vAlign w:val="center"/>
          </w:tcPr>
          <w:p w14:paraId="7A66E069">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u w:val="single"/>
              </w:rPr>
              <w:t>针对本次项目采购需求提出的详细实施方案（包括但不限于技术资信分评分细则要求的各个方案）</w:t>
            </w:r>
          </w:p>
        </w:tc>
        <w:tc>
          <w:tcPr>
            <w:tcW w:w="1245" w:type="dxa"/>
            <w:tcBorders>
              <w:top w:val="single" w:color="auto" w:sz="4" w:space="0"/>
              <w:left w:val="single" w:color="auto" w:sz="4" w:space="0"/>
              <w:bottom w:val="single" w:color="auto" w:sz="4" w:space="0"/>
              <w:right w:val="single" w:color="auto" w:sz="4" w:space="0"/>
            </w:tcBorders>
            <w:vAlign w:val="center"/>
          </w:tcPr>
          <w:p w14:paraId="57BC208B">
            <w:pPr>
              <w:shd w:val="clear"/>
              <w:spacing w:line="360" w:lineRule="exact"/>
              <w:jc w:val="center"/>
              <w:rPr>
                <w:rFonts w:hint="eastAsia" w:ascii="宋体" w:hAnsi="宋体" w:eastAsia="宋体" w:cs="宋体"/>
                <w:color w:val="auto"/>
                <w:sz w:val="22"/>
                <w:szCs w:val="22"/>
                <w:highlight w:val="none"/>
              </w:rPr>
            </w:pPr>
          </w:p>
        </w:tc>
      </w:tr>
      <w:tr w14:paraId="75D1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C458D81">
            <w:pPr>
              <w:shd w:val="clea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7872" w:type="dxa"/>
            <w:tcBorders>
              <w:top w:val="single" w:color="auto" w:sz="4" w:space="0"/>
              <w:left w:val="single" w:color="auto" w:sz="4" w:space="0"/>
              <w:bottom w:val="single" w:color="auto" w:sz="4" w:space="0"/>
              <w:right w:val="single" w:color="auto" w:sz="4" w:space="0"/>
            </w:tcBorders>
            <w:vAlign w:val="center"/>
          </w:tcPr>
          <w:p w14:paraId="3352469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vAlign w:val="center"/>
          </w:tcPr>
          <w:p w14:paraId="766AAF39">
            <w:pPr>
              <w:shd w:val="clear"/>
              <w:spacing w:line="360" w:lineRule="exact"/>
              <w:jc w:val="center"/>
              <w:rPr>
                <w:rFonts w:hint="eastAsia" w:ascii="宋体" w:hAnsi="宋体" w:eastAsia="宋体" w:cs="宋体"/>
                <w:color w:val="auto"/>
                <w:sz w:val="22"/>
                <w:szCs w:val="22"/>
                <w:highlight w:val="none"/>
              </w:rPr>
            </w:pPr>
          </w:p>
        </w:tc>
      </w:tr>
    </w:tbl>
    <w:p w14:paraId="6F676891">
      <w:pPr>
        <w:shd w:val="clear"/>
        <w:spacing w:line="360" w:lineRule="exact"/>
        <w:ind w:left="9" w:hanging="9" w:hangingChars="4"/>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说明：</w:t>
      </w:r>
    </w:p>
    <w:p w14:paraId="6D236B7F">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1）投标人可根据采购文件中的技术规格书以及技术资信评分表，提供投标人认为需要提供的文件和资料。</w:t>
      </w:r>
    </w:p>
    <w:p w14:paraId="02DFEBD7">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63673E97">
      <w:pPr>
        <w:shd w:val="clear"/>
        <w:spacing w:line="360" w:lineRule="exac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05B4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AD91C80">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7655" w:type="dxa"/>
            <w:vAlign w:val="center"/>
          </w:tcPr>
          <w:p w14:paraId="4627055C">
            <w:pPr>
              <w:shd w:val="clear"/>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内容</w:t>
            </w:r>
          </w:p>
        </w:tc>
        <w:tc>
          <w:tcPr>
            <w:tcW w:w="1240" w:type="dxa"/>
            <w:vAlign w:val="center"/>
          </w:tcPr>
          <w:p w14:paraId="6205705D">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备注</w:t>
            </w:r>
          </w:p>
        </w:tc>
      </w:tr>
      <w:tr w14:paraId="718E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A1CA29">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7655" w:type="dxa"/>
            <w:vAlign w:val="center"/>
          </w:tcPr>
          <w:p w14:paraId="4ED58E5D">
            <w:pPr>
              <w:shd w:val="clear"/>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开标一览表</w:t>
            </w:r>
          </w:p>
        </w:tc>
        <w:tc>
          <w:tcPr>
            <w:tcW w:w="1240" w:type="dxa"/>
            <w:vAlign w:val="center"/>
          </w:tcPr>
          <w:p w14:paraId="71C36F35">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附件三（1）</w:t>
            </w:r>
          </w:p>
        </w:tc>
      </w:tr>
      <w:tr w14:paraId="099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769CAC1">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7655" w:type="dxa"/>
          </w:tcPr>
          <w:p w14:paraId="309443FA">
            <w:pPr>
              <w:shd w:val="clear"/>
              <w:tabs>
                <w:tab w:val="left" w:pos="5355"/>
              </w:tabs>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投标分项报价表</w:t>
            </w:r>
          </w:p>
        </w:tc>
        <w:tc>
          <w:tcPr>
            <w:tcW w:w="1240" w:type="dxa"/>
            <w:vAlign w:val="center"/>
          </w:tcPr>
          <w:p w14:paraId="43009D05">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附件三（2）</w:t>
            </w:r>
          </w:p>
        </w:tc>
      </w:tr>
    </w:tbl>
    <w:p w14:paraId="26283918">
      <w:pPr>
        <w:shd w:val="clear"/>
        <w:tabs>
          <w:tab w:val="left" w:pos="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3.2投标文件形式</w:t>
      </w:r>
    </w:p>
    <w:p w14:paraId="70230D1B">
      <w:pPr>
        <w:numPr>
          <w:ilvl w:val="0"/>
          <w:numId w:val="2"/>
        </w:numPr>
        <w:shd w:val="clear"/>
        <w:tabs>
          <w:tab w:val="left" w:pos="0"/>
          <w:tab w:val="clear" w:pos="530"/>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投标人应根据采购文件中所提供的格式，内容按顺序填写并装订成册；</w:t>
      </w:r>
    </w:p>
    <w:p w14:paraId="0BBAB847">
      <w:pPr>
        <w:numPr>
          <w:ilvl w:val="0"/>
          <w:numId w:val="2"/>
        </w:numPr>
        <w:shd w:val="clear"/>
        <w:tabs>
          <w:tab w:val="left" w:pos="0"/>
          <w:tab w:val="clear" w:pos="530"/>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技术资信文件、报价文件分别包装于各自不透明的标函袋中，标函袋不做统一要求。</w:t>
      </w:r>
    </w:p>
    <w:p w14:paraId="153C2BD3">
      <w:pPr>
        <w:numPr>
          <w:ilvl w:val="0"/>
          <w:numId w:val="2"/>
        </w:numPr>
        <w:shd w:val="clear"/>
        <w:tabs>
          <w:tab w:val="left" w:pos="0"/>
          <w:tab w:val="clear" w:pos="530"/>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投标文件应有目录以及页码，以便评委检索；</w:t>
      </w:r>
    </w:p>
    <w:p w14:paraId="406A01B0">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4.投标报价</w:t>
      </w:r>
    </w:p>
    <w:p w14:paraId="3DCF9414">
      <w:pPr>
        <w:shd w:val="clear"/>
        <w:tabs>
          <w:tab w:val="left" w:pos="-180"/>
          <w:tab w:val="left" w:pos="180"/>
          <w:tab w:val="left" w:pos="360"/>
        </w:tabs>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4.1▲</w:t>
      </w:r>
      <w:r>
        <w:rPr>
          <w:rFonts w:hint="eastAsia" w:ascii="宋体" w:hAnsi="宋体" w:eastAsia="宋体" w:cs="宋体"/>
          <w:b/>
          <w:bCs/>
          <w:color w:val="auto"/>
          <w:sz w:val="22"/>
          <w:szCs w:val="22"/>
          <w:highlight w:val="none"/>
          <w:u w:val="single"/>
        </w:rPr>
        <w:t>本项目投标报价是指投标人在正确地完全履行合同义务后采购人应支付给投标人的所有价款，包括但不限于投标人各项成本支出、合理的利润、应交纳的税金及采购代理费用等，完成合同所需的一切本身和不可或缺的所有工作开支、政策性文件规定及合同包含的所有风险、责任等各项全部费用并承担一切风险责任。投标人应根据上述因素自行考虑含入投标总价。投标人应根据上述因素自行考虑含入投标总价。投标人须充分考虑本项目的特殊性和不可预见性在内的所有为完成本项目引起的费用等所需的各项应有费用。</w:t>
      </w:r>
    </w:p>
    <w:p w14:paraId="5F70A69E">
      <w:pPr>
        <w:shd w:val="clear"/>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4.2</w:t>
      </w:r>
      <w:r>
        <w:rPr>
          <w:rFonts w:hint="eastAsia" w:ascii="宋体" w:hAnsi="宋体" w:eastAsia="宋体" w:cs="宋体"/>
          <w:color w:val="auto"/>
          <w:sz w:val="22"/>
          <w:szCs w:val="22"/>
          <w:highlight w:val="none"/>
        </w:rPr>
        <w:t>投标人必须按第三部分附件的开标一览表、</w:t>
      </w:r>
      <w:r>
        <w:rPr>
          <w:rFonts w:hint="eastAsia" w:ascii="宋体" w:hAnsi="宋体" w:eastAsia="宋体" w:cs="宋体"/>
          <w:color w:val="auto"/>
          <w:kern w:val="0"/>
          <w:sz w:val="22"/>
          <w:szCs w:val="22"/>
          <w:highlight w:val="none"/>
        </w:rPr>
        <w:t>投标分项报价表</w:t>
      </w:r>
      <w:r>
        <w:rPr>
          <w:rFonts w:hint="eastAsia" w:ascii="宋体" w:hAnsi="宋体" w:eastAsia="宋体" w:cs="宋体"/>
          <w:color w:val="auto"/>
          <w:sz w:val="22"/>
          <w:szCs w:val="22"/>
          <w:highlight w:val="none"/>
        </w:rPr>
        <w:t>（统一格式）的内容填写投标报价及其他事项，并由法定代表人或授权代表签署。</w:t>
      </w:r>
    </w:p>
    <w:p w14:paraId="7FB4F60D">
      <w:pPr>
        <w:shd w:val="clear"/>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4.3</w:t>
      </w:r>
      <w:r>
        <w:rPr>
          <w:rFonts w:hint="eastAsia" w:ascii="宋体" w:hAnsi="宋体" w:eastAsia="宋体" w:cs="宋体"/>
          <w:color w:val="auto"/>
          <w:sz w:val="22"/>
          <w:szCs w:val="22"/>
          <w:highlight w:val="none"/>
        </w:rPr>
        <w:t>所有投标均以人民币报价。</w:t>
      </w:r>
    </w:p>
    <w:p w14:paraId="5C505E30">
      <w:pPr>
        <w:shd w:val="clear"/>
        <w:tabs>
          <w:tab w:val="left" w:pos="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rPr>
        <w:t>4.4▲</w:t>
      </w:r>
      <w:r>
        <w:rPr>
          <w:rFonts w:hint="eastAsia" w:ascii="宋体" w:hAnsi="宋体" w:eastAsia="宋体" w:cs="宋体"/>
          <w:b/>
          <w:color w:val="auto"/>
          <w:sz w:val="22"/>
          <w:szCs w:val="22"/>
          <w:highlight w:val="none"/>
          <w:u w:val="single"/>
        </w:rPr>
        <w:t>采购人不接受任何选择报价，只允许一个报价。</w:t>
      </w:r>
    </w:p>
    <w:p w14:paraId="123A2EE2">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4.5</w:t>
      </w:r>
      <w:r>
        <w:rPr>
          <w:rFonts w:hint="eastAsia" w:ascii="宋体" w:hAnsi="宋体" w:eastAsia="宋体" w:cs="宋体"/>
          <w:b/>
          <w:color w:val="auto"/>
          <w:sz w:val="22"/>
          <w:szCs w:val="22"/>
          <w:highlight w:val="none"/>
        </w:rPr>
        <w:t>最低报价不能作为中标的保证。</w:t>
      </w:r>
    </w:p>
    <w:p w14:paraId="5D25469A">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5.投标保证金</w:t>
      </w:r>
    </w:p>
    <w:p w14:paraId="7A126C1E">
      <w:pPr>
        <w:numPr>
          <w:ilvl w:val="1"/>
          <w:numId w:val="3"/>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投标人必须在投标截止时间前向采购代理单位指定账户缴纳（转账）投标保证金（以采购代理单位银行系统显示到账时间为准），否则采购人将不接受其投标。</w:t>
      </w:r>
    </w:p>
    <w:p w14:paraId="2FCAA380">
      <w:pPr>
        <w:numPr>
          <w:ilvl w:val="1"/>
          <w:numId w:val="3"/>
        </w:numPr>
        <w:shd w:val="clear"/>
        <w:tabs>
          <w:tab w:val="left" w:pos="0"/>
          <w:tab w:val="clear" w:pos="992"/>
        </w:tabs>
        <w:spacing w:line="360" w:lineRule="exact"/>
        <w:ind w:left="0" w:firstLine="42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中标人的投标保证金在与采购人签订合同后5个工作日内无息退还，未中标人的投标保证金将在确定中标人后5个工作日内无息退还</w:t>
      </w:r>
    </w:p>
    <w:p w14:paraId="0BEF2EDC">
      <w:pPr>
        <w:numPr>
          <w:ilvl w:val="1"/>
          <w:numId w:val="3"/>
        </w:numPr>
        <w:shd w:val="clear"/>
        <w:tabs>
          <w:tab w:val="left" w:pos="0"/>
          <w:tab w:val="clear" w:pos="992"/>
        </w:tabs>
        <w:spacing w:line="360" w:lineRule="exact"/>
        <w:ind w:left="0" w:firstLine="42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如发生下列情况之一，投标保证金将不予退还：</w:t>
      </w:r>
    </w:p>
    <w:p w14:paraId="71E55ABA">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投标人在采购文件规定的投标有效期内撤回投标；</w:t>
      </w:r>
    </w:p>
    <w:p w14:paraId="06D6833E">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中标人未按中标通知书中规定的时间与采购人签订合同；</w:t>
      </w:r>
    </w:p>
    <w:p w14:paraId="6E7583C3">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u w:val="single"/>
        </w:rPr>
        <w:t>中标人在规定期限内未能根据采购文件要求提供履约保证金；</w:t>
      </w:r>
    </w:p>
    <w:p w14:paraId="2D4CD06B">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投标人在采购文件中提供虚假技术指标及参数，经评标委员会确认属实的。</w:t>
      </w:r>
    </w:p>
    <w:p w14:paraId="76E46705">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经采购人的采购监督管理部门审查认定投标人有违反《温州市市属国有企业采购管理办法》等有关法律法规的行为。</w:t>
      </w:r>
    </w:p>
    <w:p w14:paraId="335115F7">
      <w:pPr>
        <w:shd w:val="clear"/>
        <w:tabs>
          <w:tab w:val="left" w:pos="0"/>
        </w:tabs>
        <w:spacing w:line="360" w:lineRule="exac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6.投标有效期</w:t>
      </w:r>
    </w:p>
    <w:p w14:paraId="48C474D4">
      <w:pPr>
        <w:shd w:val="clear"/>
        <w:tabs>
          <w:tab w:val="left" w:pos="0"/>
        </w:tabs>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6.1自开标之日起</w:t>
      </w:r>
      <w:r>
        <w:rPr>
          <w:rFonts w:hint="eastAsia" w:ascii="宋体" w:hAnsi="宋体" w:eastAsia="宋体" w:cs="宋体"/>
          <w:b/>
          <w:color w:val="auto"/>
          <w:sz w:val="22"/>
          <w:szCs w:val="22"/>
          <w:highlight w:val="none"/>
          <w:u w:val="single"/>
        </w:rPr>
        <w:t xml:space="preserve"> 90</w:t>
      </w:r>
      <w:r>
        <w:rPr>
          <w:rFonts w:hint="eastAsia" w:ascii="宋体" w:hAnsi="宋体" w:eastAsia="宋体" w:cs="宋体"/>
          <w:b/>
          <w:color w:val="auto"/>
          <w:sz w:val="22"/>
          <w:szCs w:val="22"/>
          <w:highlight w:val="none"/>
        </w:rPr>
        <w:t>天内投标应保持有效。投标有效期短于这个规定期限的投标将视为非响应性投标而予以拒绝。</w:t>
      </w:r>
    </w:p>
    <w:p w14:paraId="33C2C986">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2B9F1B8">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7.投标文件的签署和规定</w:t>
      </w:r>
    </w:p>
    <w:p w14:paraId="427B0A18">
      <w:pPr>
        <w:numPr>
          <w:ilvl w:val="1"/>
          <w:numId w:val="4"/>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应提供投标文件技术资信文件、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053F03ED">
      <w:pPr>
        <w:numPr>
          <w:ilvl w:val="1"/>
          <w:numId w:val="4"/>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投标文件的正本必须打印或用不褪色的墨水书写，并由法定代表人或其授权代表签署，副本可用正本的复印。</w:t>
      </w:r>
    </w:p>
    <w:p w14:paraId="5D866054">
      <w:pPr>
        <w:numPr>
          <w:ilvl w:val="1"/>
          <w:numId w:val="4"/>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投标文件如有修改和增删必须由投标文件签字人在修改和增删处旁签署或盖章，方才有效。</w:t>
      </w:r>
    </w:p>
    <w:p w14:paraId="072A706E">
      <w:pPr>
        <w:numPr>
          <w:ilvl w:val="1"/>
          <w:numId w:val="4"/>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投标文件字迹模糊或在关键的技术、商务条款上表述不清楚，将可能导致其投标被拒绝。</w:t>
      </w:r>
    </w:p>
    <w:p w14:paraId="0227CD62">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8.投标文件的密封及标记</w:t>
      </w:r>
    </w:p>
    <w:p w14:paraId="4BFEDC87">
      <w:pPr>
        <w:numPr>
          <w:ilvl w:val="1"/>
          <w:numId w:val="5"/>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投标人须将投标文件的“技术资信文件”、“报价文件”分别单独密封，且在各自的密封袋上标明“技术资信文件”、“报价文件”字样。</w:t>
      </w:r>
      <w:r>
        <w:rPr>
          <w:rFonts w:hint="eastAsia" w:ascii="宋体" w:hAnsi="宋体" w:eastAsia="宋体" w:cs="宋体"/>
          <w:b/>
          <w:bCs/>
          <w:color w:val="auto"/>
          <w:sz w:val="22"/>
          <w:szCs w:val="22"/>
          <w:highlight w:val="none"/>
          <w:u w:val="single"/>
        </w:rPr>
        <w:t>封口处贴上封条，启封处加盖投标单位公章。封皮上写明投标项目名称、项目编号，并注明“开标时启封”字样。</w:t>
      </w:r>
    </w:p>
    <w:p w14:paraId="0B5EFC2B">
      <w:pPr>
        <w:numPr>
          <w:ilvl w:val="1"/>
          <w:numId w:val="5"/>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u w:val="single"/>
        </w:rPr>
        <w:t>如果投标人未按上述要求密封及加写标记，采购人对投标文件的误投和提前启封不负责任。</w:t>
      </w:r>
    </w:p>
    <w:p w14:paraId="55FCAEEC">
      <w:pPr>
        <w:shd w:val="clear"/>
        <w:spacing w:before="200" w:after="200" w:line="360" w:lineRule="exact"/>
        <w:jc w:val="center"/>
        <w:outlineLvl w:val="0"/>
        <w:rPr>
          <w:rFonts w:hint="eastAsia" w:ascii="宋体" w:hAnsi="宋体" w:eastAsia="宋体" w:cs="宋体"/>
          <w:color w:val="auto"/>
          <w:sz w:val="22"/>
          <w:szCs w:val="22"/>
          <w:highlight w:val="none"/>
        </w:rPr>
      </w:pPr>
      <w:bookmarkStart w:id="72" w:name="_Toc249758864"/>
      <w:bookmarkStart w:id="73" w:name="_Toc223715998"/>
      <w:bookmarkStart w:id="74" w:name="_Toc245722281"/>
      <w:bookmarkStart w:id="75" w:name="_Toc221374626"/>
      <w:bookmarkStart w:id="76" w:name="_Toc241404202"/>
      <w:bookmarkStart w:id="77" w:name="_Toc29939"/>
      <w:bookmarkStart w:id="78" w:name="_Toc221356887"/>
      <w:bookmarkStart w:id="79" w:name="_Toc249758712"/>
      <w:bookmarkStart w:id="80" w:name="_Toc221356951"/>
      <w:bookmarkStart w:id="81" w:name="_Toc262105503"/>
      <w:bookmarkStart w:id="82" w:name="_Toc239145354"/>
      <w:bookmarkStart w:id="83" w:name="_Toc245191314"/>
      <w:bookmarkStart w:id="84" w:name="_Toc262049418"/>
      <w:bookmarkStart w:id="85" w:name="_Toc246261265"/>
      <w:bookmarkStart w:id="86" w:name="_Toc221423619"/>
      <w:bookmarkStart w:id="87" w:name="_Toc222114879"/>
      <w:r>
        <w:rPr>
          <w:rFonts w:hint="eastAsia" w:ascii="宋体" w:hAnsi="宋体" w:eastAsia="宋体" w:cs="宋体"/>
          <w:b/>
          <w:bCs/>
          <w:color w:val="auto"/>
          <w:sz w:val="22"/>
          <w:szCs w:val="22"/>
          <w:highlight w:val="none"/>
        </w:rPr>
        <w:t>四、投标文件的递交</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9CF8181">
      <w:pPr>
        <w:shd w:val="clear"/>
        <w:tabs>
          <w:tab w:val="left" w:pos="0"/>
        </w:tabs>
        <w:spacing w:line="360" w:lineRule="exact"/>
        <w:rPr>
          <w:rFonts w:hint="eastAsia" w:ascii="宋体" w:hAnsi="宋体" w:eastAsia="宋体" w:cs="宋体"/>
          <w:b/>
          <w:color w:val="auto"/>
          <w:sz w:val="22"/>
          <w:szCs w:val="22"/>
          <w:highlight w:val="none"/>
        </w:rPr>
      </w:pPr>
      <w:bookmarkStart w:id="88" w:name="_Toc245722282"/>
      <w:bookmarkStart w:id="89" w:name="_Toc221374627"/>
      <w:bookmarkStart w:id="90" w:name="_Toc239145355"/>
      <w:bookmarkStart w:id="91" w:name="_Toc245191315"/>
      <w:bookmarkStart w:id="92" w:name="_Toc249758713"/>
      <w:bookmarkStart w:id="93" w:name="_Toc241404203"/>
      <w:bookmarkStart w:id="94" w:name="_Toc221423620"/>
      <w:bookmarkStart w:id="95" w:name="_Toc246261266"/>
      <w:bookmarkStart w:id="96" w:name="_Toc223715999"/>
      <w:bookmarkStart w:id="97" w:name="_Toc262049419"/>
      <w:bookmarkStart w:id="98" w:name="_Toc221356952"/>
      <w:bookmarkStart w:id="99" w:name="_Toc262105504"/>
      <w:bookmarkStart w:id="100" w:name="_Toc249758865"/>
      <w:bookmarkStart w:id="101" w:name="_Toc222114880"/>
      <w:bookmarkStart w:id="102" w:name="_Toc221356888"/>
      <w:r>
        <w:rPr>
          <w:rFonts w:hint="eastAsia" w:ascii="宋体" w:hAnsi="宋体" w:eastAsia="宋体" w:cs="宋体"/>
          <w:bCs/>
          <w:color w:val="auto"/>
          <w:sz w:val="22"/>
          <w:szCs w:val="22"/>
          <w:highlight w:val="none"/>
        </w:rPr>
        <w:t>1.投标文件的递交</w:t>
      </w:r>
    </w:p>
    <w:p w14:paraId="08A80FAD">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投标文件必须在规定的投标截止时间前送达到指定的收标地点</w:t>
      </w:r>
      <w:r>
        <w:rPr>
          <w:rFonts w:hint="eastAsia" w:ascii="宋体" w:hAnsi="宋体" w:eastAsia="宋体" w:cs="宋体"/>
          <w:b/>
          <w:color w:val="auto"/>
          <w:sz w:val="22"/>
          <w:szCs w:val="22"/>
          <w:highlight w:val="none"/>
        </w:rPr>
        <w:t>；</w:t>
      </w:r>
    </w:p>
    <w:p w14:paraId="326E2336">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投标保证金缴纳证明（以采购代理单位银行系统显示到账时间为准）；</w:t>
      </w:r>
    </w:p>
    <w:p w14:paraId="46498D68">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投标人如是法定代表人或个体工商户经营者参加投标的，法定代表人有效身份证明（原件）、企业/事业单位法人营业执照或个体工商户营业执照复印件（加盖投标人公章），由采购人或代理机构确认投标资格</w:t>
      </w:r>
      <w:r>
        <w:rPr>
          <w:rFonts w:hint="eastAsia" w:ascii="宋体" w:hAnsi="宋体" w:eastAsia="宋体" w:cs="宋体"/>
          <w:b/>
          <w:color w:val="auto"/>
          <w:sz w:val="22"/>
          <w:szCs w:val="22"/>
          <w:highlight w:val="none"/>
        </w:rPr>
        <w:t>；</w:t>
      </w:r>
    </w:p>
    <w:p w14:paraId="0EC2B0DE">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投标人如是授权代表参加投标的，法定代表人授权书（原件）、授权代表有效身份证明（原件）、企业/事业单位法人营业执照复印件（加盖投标人公章），由采购人或代理机构确认投标资格</w:t>
      </w:r>
      <w:r>
        <w:rPr>
          <w:rFonts w:hint="eastAsia" w:ascii="宋体" w:hAnsi="宋体" w:eastAsia="宋体" w:cs="宋体"/>
          <w:b/>
          <w:color w:val="auto"/>
          <w:sz w:val="22"/>
          <w:szCs w:val="22"/>
          <w:highlight w:val="none"/>
        </w:rPr>
        <w:t>。</w:t>
      </w:r>
    </w:p>
    <w:p w14:paraId="5E07DF35">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法定代表人授权书原件、企业/事业法人营业执照或个体工商户营业执照复印件等如密封在投标文件技术资信文件中，在技术资信文件开启后经查验符合要求亦为有效。</w:t>
      </w:r>
    </w:p>
    <w:p w14:paraId="6F0AD4AF">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2.投标文件的修改和撤回</w:t>
      </w:r>
    </w:p>
    <w:p w14:paraId="0D8E3503">
      <w:pPr>
        <w:numPr>
          <w:ilvl w:val="1"/>
          <w:numId w:val="7"/>
        </w:numPr>
        <w:shd w:val="clear"/>
        <w:tabs>
          <w:tab w:val="left" w:pos="0"/>
          <w:tab w:val="clear" w:pos="992"/>
        </w:tabs>
        <w:spacing w:line="360" w:lineRule="exact"/>
        <w:ind w:left="0" w:firstLine="420" w:firstLineChars="190"/>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在投标截止时间前，投标人可以用书面形式提出修改或撤回其投标并送达到采购人，但不得影响开标活动的正常进行。</w:t>
      </w:r>
    </w:p>
    <w:p w14:paraId="23947C19">
      <w:pPr>
        <w:numPr>
          <w:ilvl w:val="1"/>
          <w:numId w:val="7"/>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“投标文件修改”或“投标文件撤回通知”都应密封并在密封袋上写明投标项目名称、编号、投标单位名称，并注明“投标文件修改”或“投标文件撤回通知”字样。</w:t>
      </w:r>
    </w:p>
    <w:p w14:paraId="126993EA">
      <w:pPr>
        <w:numPr>
          <w:ilvl w:val="1"/>
          <w:numId w:val="7"/>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从投标截止日期起至投标有效期满这段时间内，投标人不得撤回其投标，否则投标保证金将</w:t>
      </w:r>
      <w:r>
        <w:rPr>
          <w:rFonts w:hint="eastAsia" w:ascii="宋体" w:hAnsi="宋体" w:eastAsia="宋体" w:cs="宋体"/>
          <w:color w:val="auto"/>
          <w:sz w:val="22"/>
          <w:szCs w:val="22"/>
          <w:highlight w:val="none"/>
        </w:rPr>
        <w:t>被不予退还。</w:t>
      </w:r>
    </w:p>
    <w:p w14:paraId="775C40C3">
      <w:pPr>
        <w:shd w:val="clear"/>
        <w:tabs>
          <w:tab w:val="left" w:pos="0"/>
        </w:tabs>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bCs/>
          <w:color w:val="auto"/>
          <w:sz w:val="22"/>
          <w:szCs w:val="22"/>
          <w:highlight w:val="none"/>
          <w:u w:val="single"/>
        </w:rPr>
        <w:t>发生下列情况之一的投标文件将不予受理</w:t>
      </w:r>
      <w:r>
        <w:rPr>
          <w:rFonts w:hint="eastAsia" w:ascii="宋体" w:hAnsi="宋体" w:eastAsia="宋体" w:cs="宋体"/>
          <w:bCs/>
          <w:color w:val="auto"/>
          <w:sz w:val="22"/>
          <w:szCs w:val="22"/>
          <w:highlight w:val="none"/>
        </w:rPr>
        <w:t>：</w:t>
      </w:r>
    </w:p>
    <w:p w14:paraId="292D60FE">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u w:val="single"/>
        </w:rPr>
        <w:t>在投标截止时间以后送达的投标文件；</w:t>
      </w:r>
    </w:p>
    <w:p w14:paraId="4CEEB62E">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u w:val="single"/>
        </w:rPr>
        <w:t>未购买采购文件；</w:t>
      </w:r>
    </w:p>
    <w:p w14:paraId="7CCFEE9B">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未递交投标保证金；</w:t>
      </w:r>
    </w:p>
    <w:p w14:paraId="50019FBA">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未密封盖章或未装订的投标文件及由于包装不妥在送达途中严重破损或失散的投标文件；</w:t>
      </w:r>
    </w:p>
    <w:p w14:paraId="6959804E">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以电讯形式递交的投标文件。</w:t>
      </w:r>
    </w:p>
    <w:p w14:paraId="299C1318">
      <w:pPr>
        <w:shd w:val="clear"/>
        <w:tabs>
          <w:tab w:val="left" w:pos="360"/>
          <w:tab w:val="left" w:pos="540"/>
          <w:tab w:val="left" w:pos="1260"/>
        </w:tabs>
        <w:spacing w:before="200" w:after="200" w:line="360" w:lineRule="exact"/>
        <w:ind w:left="790" w:hanging="777" w:hangingChars="352"/>
        <w:jc w:val="center"/>
        <w:outlineLvl w:val="0"/>
        <w:rPr>
          <w:rFonts w:hint="eastAsia" w:ascii="宋体" w:hAnsi="宋体" w:eastAsia="宋体" w:cs="宋体"/>
          <w:color w:val="auto"/>
          <w:sz w:val="22"/>
          <w:szCs w:val="22"/>
          <w:highlight w:val="none"/>
        </w:rPr>
      </w:pPr>
      <w:bookmarkStart w:id="103" w:name="_Toc27194"/>
      <w:r>
        <w:rPr>
          <w:rFonts w:hint="eastAsia" w:ascii="宋体" w:hAnsi="宋体" w:eastAsia="宋体" w:cs="宋体"/>
          <w:b/>
          <w:bCs/>
          <w:color w:val="auto"/>
          <w:sz w:val="22"/>
          <w:szCs w:val="22"/>
          <w:highlight w:val="none"/>
        </w:rPr>
        <w:t>五、开标和评标</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39542A1">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1.评标委员会</w:t>
      </w:r>
    </w:p>
    <w:p w14:paraId="7029FC31">
      <w:pPr>
        <w:shd w:val="clea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采购人依法组建评标委员会。评标委员会的成员在评标过程中必须严格遵守《温州市市属国有企业采购管理办法》等有关法律法规的规定。</w:t>
      </w:r>
    </w:p>
    <w:p w14:paraId="15BCDE9C">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2.评标过程的保密性</w:t>
      </w:r>
    </w:p>
    <w:p w14:paraId="09B4D56D">
      <w:pPr>
        <w:shd w:val="clear"/>
        <w:spacing w:line="3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开标后直至向中标人授予合同时止，凡与评审有关的资料均不得向投标人及与评标无关人员透露。如果投标人在评标过程中试图向采购人和评标委员会施加影响，其投标将被拒绝。</w:t>
      </w:r>
    </w:p>
    <w:p w14:paraId="796C6666">
      <w:pPr>
        <w:shd w:val="clear"/>
        <w:tabs>
          <w:tab w:val="left" w:pos="0"/>
        </w:tabs>
        <w:spacing w:line="360" w:lineRule="exact"/>
        <w:rPr>
          <w:rFonts w:hint="eastAsia"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3.开标、评标</w:t>
      </w:r>
    </w:p>
    <w:p w14:paraId="4EA152E9">
      <w:pPr>
        <w:numPr>
          <w:ilvl w:val="1"/>
          <w:numId w:val="9"/>
        </w:numPr>
        <w:shd w:val="clear"/>
        <w:tabs>
          <w:tab w:val="left" w:pos="0"/>
          <w:tab w:val="clear" w:pos="1277"/>
        </w:tabs>
        <w:spacing w:line="360" w:lineRule="exact"/>
        <w:ind w:left="0"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按采购文件规定的时间、地点开启各投标人的投标文件。开标前，首先检查投标文件的密封情况，确认无误后开启投标文件（技术资信文件）。 </w:t>
      </w:r>
    </w:p>
    <w:p w14:paraId="1DF6983A">
      <w:pPr>
        <w:numPr>
          <w:ilvl w:val="1"/>
          <w:numId w:val="9"/>
        </w:numPr>
        <w:shd w:val="clear"/>
        <w:tabs>
          <w:tab w:val="left" w:pos="0"/>
          <w:tab w:val="clear" w:pos="1277"/>
        </w:tabs>
        <w:overflowPunct w:val="0"/>
        <w:spacing w:line="360" w:lineRule="exact"/>
        <w:ind w:left="0"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投标文件的初审。初审分为资格性审查和符合性检查。</w:t>
      </w:r>
    </w:p>
    <w:p w14:paraId="183AABE9">
      <w:pPr>
        <w:numPr>
          <w:ilvl w:val="0"/>
          <w:numId w:val="10"/>
        </w:num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资格性审查。</w:t>
      </w:r>
    </w:p>
    <w:p w14:paraId="1DE1BE06">
      <w:pPr>
        <w:pStyle w:val="60"/>
        <w:shd w:val="clear"/>
        <w:tabs>
          <w:tab w:val="left" w:pos="425"/>
        </w:tabs>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依据法律、法规和采购文件的规定，采购人或代理机构在开启各投标人资格证明文件后，对各投标人进行投标资格审查，审查内容包括但不仅限于投标文件所提交的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78439E61">
      <w:p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2）符合性检查。</w:t>
      </w:r>
    </w:p>
    <w:p w14:paraId="551FE3E7">
      <w:p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依据采购文件的规定，从投标文件中的有效性、完整性和对采购文件的响应程度进行审查。</w:t>
      </w:r>
    </w:p>
    <w:p w14:paraId="4376E7B7">
      <w:p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u w:val="single"/>
        </w:rPr>
        <w:t>通过资格性审查与符合性审查的技术资信文件由评委进行综合评审，审查确认未通过的技术资信文件不予评审。</w:t>
      </w:r>
    </w:p>
    <w:p w14:paraId="43A4264E">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3.5▲</w:t>
      </w:r>
      <w:r>
        <w:rPr>
          <w:rFonts w:hint="eastAsia" w:ascii="宋体" w:hAnsi="宋体" w:eastAsia="宋体" w:cs="宋体"/>
          <w:b/>
          <w:bCs/>
          <w:color w:val="auto"/>
          <w:sz w:val="22"/>
          <w:szCs w:val="22"/>
          <w:highlight w:val="none"/>
          <w:u w:val="single"/>
        </w:rPr>
        <w:t>在对各投标人的投标文件进行综合评审时，投标文件有下列情况之一的，经评标委员会认定后按无效标处理：</w:t>
      </w:r>
    </w:p>
    <w:p w14:paraId="0B5E5B7A">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（1）</w:t>
      </w:r>
      <w:r>
        <w:rPr>
          <w:rFonts w:hint="eastAsia" w:ascii="宋体" w:hAnsi="宋体" w:eastAsia="宋体" w:cs="宋体"/>
          <w:b/>
          <w:color w:val="auto"/>
          <w:kern w:val="0"/>
          <w:sz w:val="22"/>
          <w:szCs w:val="22"/>
          <w:highlight w:val="none"/>
          <w:u w:val="single"/>
        </w:rPr>
        <w:t>投标文件中要求投标人加盖投标人公章的地方无投标人公章的；</w:t>
      </w:r>
    </w:p>
    <w:p w14:paraId="3DE80254">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（2）</w:t>
      </w:r>
      <w:r>
        <w:rPr>
          <w:rFonts w:hint="eastAsia" w:ascii="宋体" w:hAnsi="宋体" w:eastAsia="宋体" w:cs="宋体"/>
          <w:b/>
          <w:color w:val="auto"/>
          <w:kern w:val="0"/>
          <w:sz w:val="22"/>
          <w:szCs w:val="22"/>
          <w:highlight w:val="none"/>
          <w:u w:val="single"/>
        </w:rPr>
        <w:t>投标文件中要求投标人法定代表人或授权代表签字（或盖章）的地方无法定代表人签字或其授权代表签字（或盖章）的；</w:t>
      </w:r>
    </w:p>
    <w:p w14:paraId="08AE3466">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（3）</w:t>
      </w:r>
      <w:r>
        <w:rPr>
          <w:rFonts w:hint="eastAsia" w:ascii="宋体" w:hAnsi="宋体" w:eastAsia="宋体" w:cs="宋体"/>
          <w:b/>
          <w:color w:val="auto"/>
          <w:kern w:val="0"/>
          <w:sz w:val="22"/>
          <w:szCs w:val="22"/>
          <w:highlight w:val="none"/>
          <w:u w:val="single"/>
        </w:rPr>
        <w:t>不具备采购文件中规定的资格要求的；</w:t>
      </w:r>
    </w:p>
    <w:p w14:paraId="1E1CE567">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（4）</w:t>
      </w:r>
      <w:r>
        <w:rPr>
          <w:rFonts w:hint="eastAsia" w:ascii="宋体" w:hAnsi="宋体" w:eastAsia="宋体" w:cs="宋体"/>
          <w:b/>
          <w:color w:val="auto"/>
          <w:kern w:val="0"/>
          <w:sz w:val="22"/>
          <w:szCs w:val="22"/>
          <w:highlight w:val="none"/>
          <w:u w:val="single"/>
        </w:rPr>
        <w:t>报价超过采购文件中规定的最高限价的；</w:t>
      </w:r>
    </w:p>
    <w:p w14:paraId="55996AAC">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（5）</w:t>
      </w:r>
      <w:r>
        <w:rPr>
          <w:rFonts w:hint="eastAsia" w:ascii="宋体" w:hAnsi="宋体" w:eastAsia="宋体" w:cs="宋体"/>
          <w:b/>
          <w:color w:val="auto"/>
          <w:kern w:val="0"/>
          <w:sz w:val="22"/>
          <w:szCs w:val="22"/>
          <w:highlight w:val="none"/>
          <w:u w:val="single"/>
        </w:rPr>
        <w:t>投标文件含有采购人不能接受的附加条件的；</w:t>
      </w:r>
    </w:p>
    <w:p w14:paraId="799E228C">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（6）</w:t>
      </w:r>
      <w:r>
        <w:rPr>
          <w:rFonts w:hint="eastAsia" w:ascii="宋体" w:hAnsi="宋体" w:eastAsia="宋体" w:cs="宋体"/>
          <w:b/>
          <w:color w:val="auto"/>
          <w:kern w:val="0"/>
          <w:sz w:val="22"/>
          <w:szCs w:val="22"/>
          <w:highlight w:val="none"/>
          <w:u w:val="single"/>
        </w:rPr>
        <w:t>经评标委员会认定投标人串通投标的；</w:t>
      </w:r>
    </w:p>
    <w:p w14:paraId="42A03B70">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（7）</w:t>
      </w:r>
      <w:r>
        <w:rPr>
          <w:rFonts w:hint="eastAsia" w:ascii="宋体" w:hAnsi="宋体" w:eastAsia="宋体" w:cs="宋体"/>
          <w:b/>
          <w:color w:val="auto"/>
          <w:kern w:val="0"/>
          <w:sz w:val="22"/>
          <w:szCs w:val="22"/>
          <w:highlight w:val="none"/>
          <w:u w:val="single"/>
        </w:rPr>
        <w:t>同时出现两种及以上不一致价格且修正后投标人不确认报价的；</w:t>
      </w:r>
    </w:p>
    <w:p w14:paraId="181504CB">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（8）</w:t>
      </w:r>
      <w:r>
        <w:rPr>
          <w:rFonts w:hint="eastAsia" w:ascii="宋体" w:hAnsi="宋体" w:eastAsia="宋体" w:cs="宋体"/>
          <w:b/>
          <w:color w:val="auto"/>
          <w:kern w:val="0"/>
          <w:sz w:val="22"/>
          <w:szCs w:val="22"/>
          <w:highlight w:val="none"/>
          <w:u w:val="single"/>
        </w:rPr>
        <w:t>报价明显低于其他通过符合性审查投标人的报价，且在评标现场合理的时间内不能证明其报价合理性的；</w:t>
      </w:r>
    </w:p>
    <w:p w14:paraId="79658FB2">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（9）</w:t>
      </w:r>
      <w:r>
        <w:rPr>
          <w:rFonts w:hint="eastAsia" w:ascii="宋体" w:hAnsi="宋体" w:eastAsia="宋体" w:cs="宋体"/>
          <w:b/>
          <w:color w:val="auto"/>
          <w:sz w:val="22"/>
          <w:szCs w:val="22"/>
          <w:highlight w:val="none"/>
          <w:u w:val="single"/>
        </w:rPr>
        <w:t>在技术资信文件中出现投标报价的；</w:t>
      </w:r>
    </w:p>
    <w:p w14:paraId="4846A975">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（10）</w:t>
      </w:r>
      <w:r>
        <w:rPr>
          <w:rFonts w:hint="eastAsia" w:ascii="宋体" w:hAnsi="宋体" w:eastAsia="宋体" w:cs="宋体"/>
          <w:b/>
          <w:bCs/>
          <w:color w:val="auto"/>
          <w:kern w:val="0"/>
          <w:sz w:val="22"/>
          <w:szCs w:val="22"/>
          <w:highlight w:val="none"/>
          <w:u w:val="single"/>
        </w:rPr>
        <w:t>授权代表</w:t>
      </w:r>
      <w:r>
        <w:rPr>
          <w:rFonts w:hint="eastAsia" w:ascii="宋体" w:hAnsi="宋体" w:eastAsia="宋体" w:cs="宋体"/>
          <w:b/>
          <w:color w:val="auto"/>
          <w:kern w:val="0"/>
          <w:sz w:val="22"/>
          <w:szCs w:val="22"/>
          <w:highlight w:val="none"/>
          <w:u w:val="single"/>
        </w:rPr>
        <w:t>无法定代表人合法、有效委托的；</w:t>
      </w:r>
    </w:p>
    <w:p w14:paraId="59DFC8D7">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（11）</w:t>
      </w:r>
      <w:r>
        <w:rPr>
          <w:rFonts w:hint="eastAsia" w:ascii="宋体" w:hAnsi="宋体" w:eastAsia="宋体" w:cs="宋体"/>
          <w:b/>
          <w:color w:val="auto"/>
          <w:sz w:val="22"/>
          <w:szCs w:val="22"/>
          <w:highlight w:val="none"/>
          <w:u w:val="single"/>
        </w:rPr>
        <w:t>提供了虚假文件资料，有弄虚作假行为的；</w:t>
      </w:r>
    </w:p>
    <w:p w14:paraId="7928CA0D">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（12）</w:t>
      </w:r>
      <w:r>
        <w:rPr>
          <w:rFonts w:hint="eastAsia" w:ascii="宋体" w:hAnsi="宋体" w:eastAsia="宋体" w:cs="宋体"/>
          <w:b/>
          <w:color w:val="auto"/>
          <w:sz w:val="22"/>
          <w:szCs w:val="22"/>
          <w:highlight w:val="none"/>
          <w:u w:val="single"/>
        </w:rPr>
        <w:t>投标文件为活页形式，未装订成册的；</w:t>
      </w:r>
    </w:p>
    <w:p w14:paraId="2CDC4EC8">
      <w:pPr>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（13）</w:t>
      </w:r>
      <w:r>
        <w:rPr>
          <w:rFonts w:hint="eastAsia" w:ascii="宋体" w:hAnsi="宋体" w:eastAsia="宋体" w:cs="宋体"/>
          <w:b/>
          <w:color w:val="auto"/>
          <w:kern w:val="0"/>
          <w:sz w:val="22"/>
          <w:szCs w:val="22"/>
          <w:highlight w:val="none"/>
          <w:u w:val="single"/>
        </w:rPr>
        <w:t>评标委员会认定不符合法律、法规和采购文件中规定的其他实质性要求的。</w:t>
      </w:r>
    </w:p>
    <w:p w14:paraId="1AC72474">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3.4▲有下列情形之一的，视为投标人串通投标，其投标无效：</w:t>
      </w:r>
    </w:p>
    <w:p w14:paraId="317A2434">
      <w:pPr>
        <w:pStyle w:val="60"/>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（1）</w:t>
      </w:r>
      <w:r>
        <w:rPr>
          <w:rFonts w:hint="eastAsia" w:ascii="宋体" w:hAnsi="宋体" w:eastAsia="宋体" w:cs="宋体"/>
          <w:b/>
          <w:color w:val="auto"/>
          <w:kern w:val="0"/>
          <w:sz w:val="22"/>
          <w:szCs w:val="22"/>
          <w:highlight w:val="none"/>
          <w:u w:val="single"/>
        </w:rPr>
        <w:t>不同投标人的投标文件由同一单位或者个人编制；</w:t>
      </w:r>
    </w:p>
    <w:p w14:paraId="561D0369">
      <w:pPr>
        <w:pStyle w:val="60"/>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（2）</w:t>
      </w:r>
      <w:r>
        <w:rPr>
          <w:rFonts w:hint="eastAsia" w:ascii="宋体" w:hAnsi="宋体" w:eastAsia="宋体" w:cs="宋体"/>
          <w:b/>
          <w:color w:val="auto"/>
          <w:kern w:val="0"/>
          <w:sz w:val="22"/>
          <w:szCs w:val="22"/>
          <w:highlight w:val="none"/>
          <w:u w:val="single"/>
        </w:rPr>
        <w:t>不同投标人委托同一单位或者个人办理投标事宜；</w:t>
      </w:r>
    </w:p>
    <w:p w14:paraId="060C9119">
      <w:pPr>
        <w:pStyle w:val="60"/>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（3）</w:t>
      </w:r>
      <w:r>
        <w:rPr>
          <w:rFonts w:hint="eastAsia" w:ascii="宋体" w:hAnsi="宋体" w:eastAsia="宋体" w:cs="宋体"/>
          <w:b/>
          <w:color w:val="auto"/>
          <w:kern w:val="0"/>
          <w:sz w:val="22"/>
          <w:szCs w:val="22"/>
          <w:highlight w:val="none"/>
          <w:u w:val="single"/>
        </w:rPr>
        <w:t>不同投标人的投标文件载明的项目管理成员或者联系人员为同一人；</w:t>
      </w:r>
    </w:p>
    <w:p w14:paraId="241AECDD">
      <w:pPr>
        <w:pStyle w:val="60"/>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（4）</w:t>
      </w:r>
      <w:r>
        <w:rPr>
          <w:rFonts w:hint="eastAsia" w:ascii="宋体" w:hAnsi="宋体" w:eastAsia="宋体" w:cs="宋体"/>
          <w:b/>
          <w:color w:val="auto"/>
          <w:kern w:val="0"/>
          <w:sz w:val="22"/>
          <w:szCs w:val="22"/>
          <w:highlight w:val="none"/>
          <w:u w:val="single"/>
        </w:rPr>
        <w:t>不同投标人的投标文件异常一致或者投标报价呈规律性差异；</w:t>
      </w:r>
    </w:p>
    <w:p w14:paraId="693999A1">
      <w:pPr>
        <w:pStyle w:val="60"/>
        <w:numPr>
          <w:ilvl w:val="0"/>
          <w:numId w:val="0"/>
        </w:numPr>
        <w:shd w:val="clear"/>
        <w:tabs>
          <w:tab w:val="left" w:pos="0"/>
        </w:tabs>
        <w:spacing w:line="360" w:lineRule="exact"/>
        <w:ind w:left="0" w:leftChars="0"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lang w:val="en-US" w:eastAsia="zh-CN" w:bidi="ar-SA"/>
        </w:rPr>
        <w:t>（5）</w:t>
      </w:r>
      <w:r>
        <w:rPr>
          <w:rFonts w:hint="eastAsia" w:ascii="宋体" w:hAnsi="宋体" w:eastAsia="宋体" w:cs="宋体"/>
          <w:b/>
          <w:color w:val="auto"/>
          <w:kern w:val="0"/>
          <w:sz w:val="22"/>
          <w:szCs w:val="22"/>
          <w:highlight w:val="none"/>
          <w:u w:val="single"/>
        </w:rPr>
        <w:t>不同投标人的投标文件相互混装；</w:t>
      </w:r>
    </w:p>
    <w:p w14:paraId="61C7A44E">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3.5开启报价文件</w:t>
      </w:r>
    </w:p>
    <w:p w14:paraId="42F736FA">
      <w:pPr>
        <w:numPr>
          <w:ilvl w:val="0"/>
          <w:numId w:val="0"/>
        </w:numPr>
        <w:shd w:val="clear"/>
        <w:tabs>
          <w:tab w:val="left" w:pos="0"/>
        </w:tabs>
        <w:spacing w:line="360" w:lineRule="exact"/>
        <w:ind w:left="0" w:leftChars="0"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rPr>
        <w:t>开报价文件时邀请所有投标人代表参加，参加开标的代表应准时出席并签名报到以证明其出席。投标人代表未参加开标会的，事后不得对开标过程和开标结果提出异议。</w:t>
      </w:r>
    </w:p>
    <w:p w14:paraId="2104EB37">
      <w:pPr>
        <w:numPr>
          <w:ilvl w:val="0"/>
          <w:numId w:val="0"/>
        </w:numPr>
        <w:shd w:val="clear"/>
        <w:tabs>
          <w:tab w:val="left" w:pos="0"/>
        </w:tabs>
        <w:spacing w:line="360" w:lineRule="exact"/>
        <w:ind w:left="0" w:leftChars="0"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rPr>
        <w:t>宣布对各投标人有效身份证件、投标保证金等审查结果和技术资信得分情况。</w:t>
      </w:r>
    </w:p>
    <w:p w14:paraId="54C06104">
      <w:pPr>
        <w:numPr>
          <w:ilvl w:val="0"/>
          <w:numId w:val="0"/>
        </w:numPr>
        <w:shd w:val="clear"/>
        <w:tabs>
          <w:tab w:val="left" w:pos="0"/>
        </w:tabs>
        <w:spacing w:line="360" w:lineRule="exact"/>
        <w:ind w:left="0" w:leftChars="0"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（3）</w:t>
      </w:r>
      <w:r>
        <w:rPr>
          <w:rFonts w:hint="eastAsia" w:ascii="宋体" w:hAnsi="宋体" w:eastAsia="宋体" w:cs="宋体"/>
          <w:color w:val="auto"/>
          <w:kern w:val="0"/>
          <w:sz w:val="22"/>
          <w:szCs w:val="22"/>
          <w:highlight w:val="none"/>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7356AD98">
      <w:pPr>
        <w:numPr>
          <w:ilvl w:val="0"/>
          <w:numId w:val="0"/>
        </w:numPr>
        <w:shd w:val="clear"/>
        <w:tabs>
          <w:tab w:val="left" w:pos="0"/>
        </w:tabs>
        <w:spacing w:line="360" w:lineRule="exact"/>
        <w:ind w:left="0" w:leftChars="0"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rPr>
        <w:t>开标时没有启封和宣读的投标文件，原封退回给投标人。</w:t>
      </w:r>
    </w:p>
    <w:p w14:paraId="5F4E8392">
      <w:pPr>
        <w:numPr>
          <w:ilvl w:val="0"/>
          <w:numId w:val="0"/>
        </w:numPr>
        <w:shd w:val="clear"/>
        <w:tabs>
          <w:tab w:val="left" w:pos="0"/>
        </w:tabs>
        <w:spacing w:line="360" w:lineRule="exact"/>
        <w:ind w:left="0" w:leftChars="0"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（5）</w:t>
      </w:r>
      <w:r>
        <w:rPr>
          <w:rFonts w:hint="eastAsia" w:ascii="宋体" w:hAnsi="宋体" w:eastAsia="宋体" w:cs="宋体"/>
          <w:color w:val="auto"/>
          <w:kern w:val="0"/>
          <w:sz w:val="22"/>
          <w:szCs w:val="22"/>
          <w:highlight w:val="none"/>
        </w:rPr>
        <w:t>开报价文件时，采购人指定专人做好记录，存档备查。</w:t>
      </w:r>
    </w:p>
    <w:p w14:paraId="621A72B2">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3.6“报价文件”开启后，由评标委员会对各投标人的商务报价进行核查，核查时发现投标报价内容不清楚可要求投标人书面澄清，计算上的错误，可按下面方法修正：</w:t>
      </w:r>
    </w:p>
    <w:p w14:paraId="2BAEFDC4">
      <w:pPr>
        <w:numPr>
          <w:ilvl w:val="0"/>
          <w:numId w:val="0"/>
        </w:numPr>
        <w:shd w:val="clear"/>
        <w:tabs>
          <w:tab w:val="left" w:pos="0"/>
        </w:tabs>
        <w:spacing w:line="360" w:lineRule="exact"/>
        <w:ind w:left="0" w:leftChars="0"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734A1FA4">
      <w:pPr>
        <w:shd w:val="clear"/>
        <w:tabs>
          <w:tab w:val="left" w:pos="0"/>
        </w:tabs>
        <w:spacing w:line="360" w:lineRule="exact"/>
        <w:ind w:firstLine="420" w:firstLineChars="19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（2）如果投标人不接受对其价格错误进行修正，其投标无效。</w:t>
      </w:r>
    </w:p>
    <w:p w14:paraId="7DACD5CE">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szCs w:val="22"/>
          <w:highlight w:val="none"/>
        </w:rPr>
        <w:t>评标委员会决定投标的响应性只根据投标文件本身的内容，而不寻求外部的证据。</w:t>
      </w:r>
    </w:p>
    <w:p w14:paraId="6A932A02">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3.8▲</w:t>
      </w:r>
      <w:r>
        <w:rPr>
          <w:rFonts w:hint="eastAsia" w:ascii="宋体" w:hAnsi="宋体" w:eastAsia="宋体" w:cs="宋体"/>
          <w:b/>
          <w:bCs/>
          <w:color w:val="auto"/>
          <w:sz w:val="22"/>
          <w:szCs w:val="22"/>
          <w:highlight w:val="none"/>
          <w:u w:val="single"/>
        </w:rPr>
        <w:t>实质上没有响应采购文件要求的投标将被拒绝，投标人不得通过修正或撤销不符合要求的偏离或保留从而使其投标成为实质上响应的投标。</w:t>
      </w:r>
    </w:p>
    <w:p w14:paraId="2ABF7767">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3.9评标委员会对审查合格的投标文件按照采购文件中制订的评标方法进行综合评定打分。</w:t>
      </w:r>
    </w:p>
    <w:p w14:paraId="0E547ABF">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3.10▲</w:t>
      </w:r>
      <w:r>
        <w:rPr>
          <w:rFonts w:hint="eastAsia" w:ascii="宋体" w:hAnsi="宋体" w:eastAsia="宋体" w:cs="宋体"/>
          <w:b/>
          <w:bCs/>
          <w:color w:val="auto"/>
          <w:kern w:val="0"/>
          <w:sz w:val="22"/>
          <w:szCs w:val="22"/>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F59A12">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3.11</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3E249695">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3.12评标过程中遇到特殊情况，由评标委员会遵循公开、公正原则，采取投票方式按照少数服从多数原则决定。</w:t>
      </w:r>
    </w:p>
    <w:p w14:paraId="1CB19724">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3.13根据《温州市市属国有企业采购管理办法》第三十六条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63FFFEB7">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4.投标文件的澄清</w:t>
      </w:r>
    </w:p>
    <w:p w14:paraId="6EDBACFC">
      <w:pPr>
        <w:numPr>
          <w:ilvl w:val="1"/>
          <w:numId w:val="11"/>
        </w:numPr>
        <w:shd w:val="clear"/>
        <w:tabs>
          <w:tab w:val="left" w:pos="0"/>
          <w:tab w:val="clear" w:pos="992"/>
        </w:tabs>
        <w:spacing w:line="360" w:lineRule="exact"/>
        <w:ind w:left="0" w:firstLine="418" w:firstLineChars="19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在评标期间，评标委员会可以对投标文件中含义不明确、对同类问题表述不一致或者有明显文字和计算错误的内容做必要的澄清、说明或补正。澄清内容不得超出投标文件的范围或者改变投标文件的实质性内容。拒不按要求对其投标文件进行澄清，说明或补正的投标人，评标委员会可以否决其投标。</w:t>
      </w:r>
    </w:p>
    <w:p w14:paraId="7C883F12">
      <w:pPr>
        <w:numPr>
          <w:ilvl w:val="1"/>
          <w:numId w:val="11"/>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kern w:val="0"/>
          <w:sz w:val="22"/>
          <w:szCs w:val="22"/>
          <w:highlight w:val="none"/>
          <w:u w:val="single"/>
        </w:rPr>
        <w:t>▲</w:t>
      </w:r>
      <w:r>
        <w:rPr>
          <w:rFonts w:hint="eastAsia" w:ascii="宋体" w:hAnsi="宋体" w:eastAsia="宋体" w:cs="宋体"/>
          <w:b/>
          <w:color w:val="auto"/>
          <w:sz w:val="22"/>
          <w:szCs w:val="22"/>
          <w:highlight w:val="none"/>
          <w:u w:val="single"/>
        </w:rPr>
        <w:t>经澄清后，若偏差仍存在，且不可接受，投标人则被认为是“没有实质性响应采购文件要求”，其投标不进入下一步评审。</w:t>
      </w:r>
    </w:p>
    <w:p w14:paraId="11E89B97">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5.确定中标候选人</w:t>
      </w:r>
    </w:p>
    <w:p w14:paraId="23A5A1AF">
      <w:pPr>
        <w:numPr>
          <w:ilvl w:val="1"/>
          <w:numId w:val="12"/>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本次采购由评标委员会推荐中标候选人，采购人根据评标委员会的推荐结果进行最终确认。</w:t>
      </w:r>
    </w:p>
    <w:p w14:paraId="24388866">
      <w:pPr>
        <w:numPr>
          <w:ilvl w:val="1"/>
          <w:numId w:val="12"/>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评标委员会依据法律、法规及采购文件有关规定在有效标中按投标人的综合得分（即技术资信分与报价分之和）高低进行排序，</w:t>
      </w:r>
      <w:r>
        <w:rPr>
          <w:rFonts w:hint="eastAsia" w:ascii="宋体" w:hAnsi="宋体" w:eastAsia="宋体" w:cs="宋体"/>
          <w:b/>
          <w:bCs/>
          <w:color w:val="auto"/>
          <w:sz w:val="22"/>
          <w:szCs w:val="22"/>
          <w:highlight w:val="none"/>
        </w:rPr>
        <w:t>当有效投标人数量为≥3家时，综合得分前二名的投标人推荐为第一、第二中标候选人。</w:t>
      </w:r>
      <w:r>
        <w:rPr>
          <w:rFonts w:hint="eastAsia" w:ascii="宋体" w:hAnsi="宋体" w:eastAsia="宋体" w:cs="宋体"/>
          <w:color w:val="auto"/>
          <w:sz w:val="22"/>
          <w:szCs w:val="22"/>
          <w:highlight w:val="none"/>
        </w:rPr>
        <w:t>（综合得分相同的，按报价分由高到低顺序排列；综合得分且报价分相同的，由评标委员会成员抽签决定排序）</w:t>
      </w:r>
    </w:p>
    <w:p w14:paraId="27D57205">
      <w:pPr>
        <w:numPr>
          <w:ilvl w:val="1"/>
          <w:numId w:val="12"/>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若出现以下情形之一，采购人可视具体情况确定</w:t>
      </w:r>
      <w:r>
        <w:rPr>
          <w:rFonts w:hint="eastAsia" w:ascii="宋体" w:hAnsi="宋体" w:eastAsia="宋体" w:cs="宋体"/>
          <w:color w:val="auto"/>
          <w:kern w:val="0"/>
          <w:sz w:val="22"/>
          <w:szCs w:val="22"/>
          <w:highlight w:val="none"/>
        </w:rPr>
        <w:t>是否由排名第二的中标候选人为中标人或</w:t>
      </w:r>
      <w:r>
        <w:rPr>
          <w:rFonts w:hint="eastAsia" w:ascii="宋体" w:hAnsi="宋体" w:eastAsia="宋体" w:cs="宋体"/>
          <w:color w:val="auto"/>
          <w:sz w:val="22"/>
          <w:szCs w:val="22"/>
          <w:highlight w:val="none"/>
        </w:rPr>
        <w:t>重新组织采购：</w:t>
      </w:r>
    </w:p>
    <w:p w14:paraId="4283EFCD">
      <w:pPr>
        <w:numPr>
          <w:ilvl w:val="0"/>
          <w:numId w:val="13"/>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中标候选人放弃中标资格；</w:t>
      </w:r>
    </w:p>
    <w:p w14:paraId="5A9357F9">
      <w:pPr>
        <w:numPr>
          <w:ilvl w:val="0"/>
          <w:numId w:val="13"/>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中标候选人因不可抗力提出不能履行合同；</w:t>
      </w:r>
    </w:p>
    <w:p w14:paraId="61A2D6C1">
      <w:pPr>
        <w:numPr>
          <w:ilvl w:val="0"/>
          <w:numId w:val="13"/>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中标候选人未能在规定的期限内提交履约保证金；</w:t>
      </w:r>
    </w:p>
    <w:p w14:paraId="3F158826">
      <w:pPr>
        <w:numPr>
          <w:ilvl w:val="0"/>
          <w:numId w:val="13"/>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中标候选人未能在规定时间内与采购人签订合同；</w:t>
      </w:r>
    </w:p>
    <w:p w14:paraId="3814F212">
      <w:pPr>
        <w:numPr>
          <w:ilvl w:val="0"/>
          <w:numId w:val="13"/>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经质疑，采购人审查后，</w:t>
      </w: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中标候选人确实在本次采购活动中存在违法违规行为或其他原因使质疑成立的。</w:t>
      </w:r>
    </w:p>
    <w:p w14:paraId="16977555">
      <w:pPr>
        <w:numPr>
          <w:ilvl w:val="1"/>
          <w:numId w:val="12"/>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采购人、采购代理机构及评标委员会对未中标的投标人不作解释，不对投标人公布详细的评审情况，不公布具体评标细则中小项得分。</w:t>
      </w:r>
    </w:p>
    <w:p w14:paraId="4B7CFAB8">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6.评标原则及办法</w:t>
      </w:r>
    </w:p>
    <w:p w14:paraId="14AB5191">
      <w:pPr>
        <w:shd w:val="clea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评标委员会按照采购文件的要求和条件进行评标，详见“评标原则及方法”。</w:t>
      </w:r>
    </w:p>
    <w:p w14:paraId="0B64F0A9">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104" w:name="_Toc249758866"/>
      <w:bookmarkStart w:id="105" w:name="_Toc249758714"/>
      <w:bookmarkStart w:id="106" w:name="_Toc221423621"/>
      <w:bookmarkStart w:id="107" w:name="_Toc223716000"/>
      <w:bookmarkStart w:id="108" w:name="_Toc239145356"/>
      <w:bookmarkStart w:id="109" w:name="_Toc221356889"/>
      <w:bookmarkStart w:id="110" w:name="_Toc222114881"/>
      <w:bookmarkStart w:id="111" w:name="_Toc262049420"/>
      <w:bookmarkStart w:id="112" w:name="_Toc245191316"/>
      <w:bookmarkStart w:id="113" w:name="_Toc241404204"/>
      <w:bookmarkStart w:id="114" w:name="_Toc221356953"/>
      <w:bookmarkStart w:id="115" w:name="_Toc221374628"/>
      <w:bookmarkStart w:id="116" w:name="_Toc246261267"/>
      <w:bookmarkStart w:id="117" w:name="_Toc245722283"/>
      <w:bookmarkStart w:id="118" w:name="_Toc262105505"/>
      <w:bookmarkStart w:id="119" w:name="_Toc16295"/>
      <w:r>
        <w:rPr>
          <w:rFonts w:hint="eastAsia" w:ascii="宋体" w:hAnsi="宋体" w:eastAsia="宋体" w:cs="宋体"/>
          <w:b/>
          <w:bCs/>
          <w:color w:val="auto"/>
          <w:sz w:val="22"/>
          <w:szCs w:val="22"/>
          <w:highlight w:val="none"/>
        </w:rPr>
        <w:t>六、授予合同</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A7133B9">
      <w:pPr>
        <w:shd w:val="clear"/>
        <w:tabs>
          <w:tab w:val="left" w:pos="0"/>
        </w:tabs>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1.确定中标人</w:t>
      </w:r>
    </w:p>
    <w:p w14:paraId="23DA201E">
      <w:pPr>
        <w:shd w:val="clear"/>
        <w:tabs>
          <w:tab w:val="left" w:pos="8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推荐的中标候选人经采购人确认，采购人或者采购代理机构应当自中标人确定之日起2个工作日内在乐采云平台、温州国企采购平台、温州市现代服务业发展集团有限公司网站、浙江东方职业技术学院网站上发布中标公告，各投标人对评标结果如有异议，可在规定时间内以书面形式向采购人进行署名投诉或提出质疑，但需对投诉或质疑内容的真实性承担法律责任。中标公告期限为3个日历天，公示期结束后，采购人将根据评标委员会提交的书面评标报告和评审结果最后确定中标人。</w:t>
      </w:r>
    </w:p>
    <w:p w14:paraId="020EE58F">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10895D7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2.1</w:t>
      </w:r>
      <w:r>
        <w:rPr>
          <w:rFonts w:hint="eastAsia" w:ascii="宋体" w:hAnsi="宋体" w:eastAsia="宋体" w:cs="宋体"/>
          <w:color w:val="auto"/>
          <w:kern w:val="0"/>
          <w:sz w:val="22"/>
          <w:szCs w:val="22"/>
          <w:highlight w:val="none"/>
        </w:rPr>
        <w:t>中标人确定后，采购人将向中标人发出中标通知书</w:t>
      </w:r>
      <w:r>
        <w:rPr>
          <w:rFonts w:hint="eastAsia" w:ascii="宋体" w:hAnsi="宋体" w:eastAsia="宋体" w:cs="宋体"/>
          <w:bCs/>
          <w:color w:val="auto"/>
          <w:sz w:val="22"/>
          <w:szCs w:val="22"/>
          <w:highlight w:val="none"/>
        </w:rPr>
        <w:t xml:space="preserve">。 </w:t>
      </w:r>
    </w:p>
    <w:p w14:paraId="00D27E44">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2.2中标通知书是合同的一个组成部分，对采购人和中标人均具有同等法律效力。</w:t>
      </w:r>
    </w:p>
    <w:p w14:paraId="2642A263">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 采购人对未中标的投标人不作落标原因解释</w:t>
      </w:r>
    </w:p>
    <w:p w14:paraId="655C85D5">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3.签订合同</w:t>
      </w:r>
    </w:p>
    <w:p w14:paraId="298727DE">
      <w:pPr>
        <w:shd w:val="clear"/>
        <w:tabs>
          <w:tab w:val="left" w:pos="840"/>
        </w:tabs>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3.1中标人应按中标通知书规定的时间、地点与采购人签订合同。</w:t>
      </w:r>
    </w:p>
    <w:p w14:paraId="41112599">
      <w:pPr>
        <w:shd w:val="clear"/>
        <w:tabs>
          <w:tab w:val="left" w:pos="840"/>
        </w:tabs>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3.2采购文件、采购补充文件、中标人的投标文件及投标修改文件、评标过程中有关澄清文件及经双方签字的询标纪要和中标通知书均作为合同附件。</w:t>
      </w:r>
    </w:p>
    <w:p w14:paraId="49DC3007">
      <w:pPr>
        <w:shd w:val="clear"/>
        <w:tabs>
          <w:tab w:val="left" w:pos="840"/>
        </w:tabs>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3.3拒签协议的违约责任</w:t>
      </w:r>
    </w:p>
    <w:p w14:paraId="1F2B6765">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接到中标通知书后，在规定时间内借故否认已经承诺的条件而拒签协议者，以投标违约处理，其投标保证金不予退回；给采购人造成损失的，由中标人负责赔偿；由此而需要重新组织采购的，所需费用由中标人承担。</w:t>
      </w:r>
    </w:p>
    <w:p w14:paraId="5F2A41EA">
      <w:pPr>
        <w:shd w:val="clear"/>
        <w:tabs>
          <w:tab w:val="left" w:pos="0"/>
        </w:tabs>
        <w:spacing w:line="360" w:lineRule="exact"/>
        <w:rPr>
          <w:rFonts w:hint="eastAsia" w:ascii="宋体" w:hAnsi="宋体" w:eastAsia="宋体" w:cs="宋体"/>
          <w:color w:val="auto"/>
          <w:spacing w:val="6"/>
          <w:sz w:val="22"/>
          <w:szCs w:val="22"/>
          <w:highlight w:val="none"/>
        </w:rPr>
      </w:pPr>
      <w:r>
        <w:rPr>
          <w:rFonts w:hint="eastAsia" w:ascii="宋体" w:hAnsi="宋体" w:eastAsia="宋体" w:cs="宋体"/>
          <w:bCs/>
          <w:color w:val="auto"/>
          <w:sz w:val="22"/>
          <w:szCs w:val="22"/>
          <w:highlight w:val="none"/>
        </w:rPr>
        <w:t>4.履约保证金</w:t>
      </w:r>
    </w:p>
    <w:p w14:paraId="732F9EFF">
      <w:pPr>
        <w:shd w:val="clear"/>
        <w:tabs>
          <w:tab w:val="left" w:pos="5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4.1中标人在收到中标通知书后，签订合同前须向采购人提交合同总价2.5%的履约保证金，履约保证金的形式可以为银行转账或银行、保险公司出具的保函。 </w:t>
      </w:r>
    </w:p>
    <w:p w14:paraId="04F3998C">
      <w:pPr>
        <w:shd w:val="clear"/>
        <w:tabs>
          <w:tab w:val="left" w:pos="5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4.2履约保证金可用于补偿采购人因中标人不能履行其合同义务而蒙受的损失，中标人承担损失后应当及时补足履约保证金。</w:t>
      </w:r>
    </w:p>
    <w:p w14:paraId="10563B8C">
      <w:pPr>
        <w:shd w:val="clear"/>
        <w:tabs>
          <w:tab w:val="left" w:pos="5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履约保证金自合同书生效之日起至项目供货期满止有效。如采购人发现中标人存在履约问题，将根据实际情况扣除或部分扣除履约保证金。履约保证金有效期满后转为质保金，待质保期满后无质量问题15个工作日内一次性无息退还给中标人。</w:t>
      </w:r>
    </w:p>
    <w:p w14:paraId="5737195D">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5.质疑与投诉</w:t>
      </w:r>
    </w:p>
    <w:p w14:paraId="77D4E4C4">
      <w:pPr>
        <w:shd w:val="clear"/>
        <w:spacing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5.1.供应商认为采购文件、采购过程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日历天内以书面形式向采购人或采购代理机构提出质疑。</w:t>
      </w:r>
    </w:p>
    <w:p w14:paraId="3D592731">
      <w:pPr>
        <w:shd w:val="clear"/>
        <w:spacing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5.2.采购人或采购代理机构在收到投标人的书面质疑后三个工作日内作出答复，但答复的内容不得涉及商业秘密。质疑投标人对采购人或采购代理机构的答复不满意，可以在答复期满后十五个工作日内向采购人的采购监督管理部门投诉。</w:t>
      </w:r>
    </w:p>
    <w:p w14:paraId="20416389">
      <w:pPr>
        <w:shd w:val="clear"/>
        <w:spacing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5.3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p w14:paraId="0794455B">
      <w:pPr>
        <w:shd w:val="clear"/>
        <w:spacing w:line="360" w:lineRule="exact"/>
        <w:ind w:firstLine="418" w:firstLineChars="190"/>
        <w:rPr>
          <w:rFonts w:hint="eastAsia" w:ascii="宋体" w:hAnsi="宋体" w:eastAsia="宋体" w:cs="宋体"/>
          <w:color w:val="auto"/>
          <w:sz w:val="22"/>
          <w:szCs w:val="22"/>
          <w:highlight w:val="none"/>
          <w:u w:val="single"/>
        </w:rPr>
      </w:pPr>
      <w:bookmarkStart w:id="120" w:name="_Hlk71387126"/>
      <w:r>
        <w:rPr>
          <w:rFonts w:hint="eastAsia" w:ascii="宋体" w:hAnsi="宋体" w:eastAsia="宋体" w:cs="宋体"/>
          <w:color w:val="auto"/>
          <w:sz w:val="22"/>
          <w:szCs w:val="22"/>
          <w:highlight w:val="none"/>
          <w:u w:val="single"/>
        </w:rPr>
        <w:t>5.4投诉人投诉时，应提交投诉书，投诉书应当由本人或法定代表人签字盖公章，投诉书应说明具体的投诉事项及事实依据。投诉人对投诉书的真实性负责，恶意投诉将承担相应的法律和民事责任。</w:t>
      </w:r>
      <w:bookmarkEnd w:id="120"/>
    </w:p>
    <w:p w14:paraId="5E356B94">
      <w:pPr>
        <w:shd w:val="clear"/>
        <w:tabs>
          <w:tab w:val="left" w:pos="0"/>
        </w:tabs>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6.采购代理服务费</w:t>
      </w:r>
    </w:p>
    <w:p w14:paraId="426CFD75">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6.1本项目采购代理服务费按固定金额人民币</w:t>
      </w:r>
      <w:r>
        <w:rPr>
          <w:rFonts w:hint="eastAsia" w:ascii="宋体" w:hAnsi="宋体" w:eastAsia="宋体" w:cs="宋体"/>
          <w:color w:val="auto"/>
          <w:sz w:val="22"/>
          <w:szCs w:val="22"/>
          <w:highlight w:val="none"/>
          <w:lang w:val="en-US" w:eastAsia="zh-CN"/>
        </w:rPr>
        <w:t>陆仟</w:t>
      </w:r>
      <w:r>
        <w:rPr>
          <w:rFonts w:hint="eastAsia" w:ascii="宋体" w:hAnsi="宋体" w:eastAsia="宋体" w:cs="宋体"/>
          <w:color w:val="auto"/>
          <w:sz w:val="22"/>
          <w:szCs w:val="22"/>
          <w:highlight w:val="none"/>
        </w:rPr>
        <w:t>元整（￥</w:t>
      </w:r>
      <w:r>
        <w:rPr>
          <w:rFonts w:hint="eastAsia" w:ascii="宋体" w:hAnsi="宋体" w:eastAsia="宋体" w:cs="宋体"/>
          <w:color w:val="auto"/>
          <w:sz w:val="22"/>
          <w:szCs w:val="22"/>
          <w:highlight w:val="none"/>
          <w:lang w:val="en-US" w:eastAsia="zh-CN"/>
        </w:rPr>
        <w:t>60</w:t>
      </w:r>
      <w:r>
        <w:rPr>
          <w:rFonts w:hint="eastAsia" w:ascii="宋体" w:hAnsi="宋体" w:eastAsia="宋体" w:cs="宋体"/>
          <w:color w:val="auto"/>
          <w:sz w:val="22"/>
          <w:szCs w:val="22"/>
          <w:highlight w:val="none"/>
        </w:rPr>
        <w:t>00.00元）收取，由中标人在领取中标通知书时支付，采购代理费包含在投标报价中综合考虑。</w:t>
      </w:r>
    </w:p>
    <w:p w14:paraId="6A445289">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 采购代理服务费可以是现金、支票或汇票</w:t>
      </w:r>
    </w:p>
    <w:p w14:paraId="5A1F3439">
      <w:pPr>
        <w:shd w:val="clear"/>
        <w:tabs>
          <w:tab w:val="left" w:pos="36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7.乐采云国企采购平台项目采购技术服务费</w:t>
      </w:r>
    </w:p>
    <w:p w14:paraId="7A236278">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7.1收费标准</w:t>
      </w:r>
    </w:p>
    <w:p w14:paraId="3A8587C9">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（1）不涉及具体金额的采购项目，技术服务费800元/件；</w:t>
      </w:r>
    </w:p>
    <w:p w14:paraId="2FB6FCF7">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（2）涉及具体金额的采购项目，根据标的额，按照以下比例收取技术服务费：</w:t>
      </w:r>
    </w:p>
    <w:p w14:paraId="1A136C7F">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中标价80万元以下（含80万元的）：按800元收取；</w:t>
      </w:r>
    </w:p>
    <w:p w14:paraId="7635F2AA">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中标价超过80万元的：中标价的千分之一（0.1%），以30000元封顶。</w:t>
      </w:r>
    </w:p>
    <w:p w14:paraId="0EAB5C3F">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7.2收费对象：中标人</w:t>
      </w:r>
    </w:p>
    <w:p w14:paraId="5EFE935C">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7.3缴款内容：于中标（成交）结果公示后向乐采云国企采购平台支付该项目的技术服务费。技术服务费包含在投标报价中综合考虑。</w:t>
      </w:r>
    </w:p>
    <w:p w14:paraId="67680C48">
      <w:pPr>
        <w:pStyle w:val="2"/>
        <w:shd w:val="clea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br w:type="page"/>
      </w:r>
      <w:bookmarkStart w:id="121" w:name="_Toc246261268"/>
      <w:bookmarkStart w:id="122" w:name="_Toc221356954"/>
      <w:bookmarkStart w:id="123" w:name="_Toc241404205"/>
      <w:bookmarkStart w:id="124" w:name="_Toc221423622"/>
      <w:bookmarkStart w:id="125" w:name="_Toc239145357"/>
      <w:bookmarkStart w:id="126" w:name="_Toc221374629"/>
      <w:bookmarkStart w:id="127" w:name="_Toc249758715"/>
      <w:bookmarkStart w:id="128" w:name="_Toc249758867"/>
      <w:bookmarkStart w:id="129" w:name="_Toc245722284"/>
      <w:bookmarkStart w:id="130" w:name="_Toc223716001"/>
      <w:bookmarkStart w:id="131" w:name="_Toc8136"/>
      <w:bookmarkStart w:id="132" w:name="_Toc262049421"/>
      <w:bookmarkStart w:id="133" w:name="_Toc221356890"/>
      <w:bookmarkStart w:id="134" w:name="_Toc222114882"/>
      <w:bookmarkStart w:id="135" w:name="_Toc245191317"/>
      <w:bookmarkStart w:id="136" w:name="_Toc262105506"/>
      <w:r>
        <w:rPr>
          <w:rFonts w:hint="eastAsia" w:ascii="宋体" w:hAnsi="宋体" w:eastAsia="宋体" w:cs="宋体"/>
          <w:color w:val="auto"/>
          <w:sz w:val="36"/>
          <w:szCs w:val="36"/>
          <w:highlight w:val="none"/>
        </w:rPr>
        <w:t>第二部分  合同主要条款</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DAC1A86">
      <w:pPr>
        <w:shd w:val="clear"/>
        <w:rPr>
          <w:rFonts w:hint="eastAsia" w:ascii="宋体" w:hAnsi="宋体" w:eastAsia="宋体" w:cs="宋体"/>
          <w:color w:val="auto"/>
          <w:highlight w:val="none"/>
        </w:rPr>
      </w:pPr>
      <w:bookmarkStart w:id="137" w:name="_Toc221423624"/>
      <w:bookmarkStart w:id="138" w:name="_Toc249758719"/>
      <w:bookmarkStart w:id="139" w:name="_Toc245191319"/>
      <w:bookmarkStart w:id="140" w:name="_Toc221356892"/>
      <w:bookmarkStart w:id="141" w:name="_Toc221356956"/>
      <w:bookmarkStart w:id="142" w:name="_Toc249758870"/>
      <w:bookmarkStart w:id="143" w:name="_Toc241404207"/>
      <w:bookmarkStart w:id="144" w:name="_Toc239145359"/>
      <w:bookmarkStart w:id="145" w:name="_Toc245722286"/>
      <w:bookmarkStart w:id="146" w:name="_Toc221374631"/>
      <w:bookmarkStart w:id="147" w:name="_Toc223716003"/>
      <w:bookmarkStart w:id="148" w:name="_Toc246261270"/>
      <w:bookmarkStart w:id="149" w:name="_Toc249758718"/>
      <w:bookmarkStart w:id="150" w:name="_Toc262049424"/>
      <w:bookmarkStart w:id="151" w:name="_Toc262105509"/>
      <w:bookmarkStart w:id="152" w:name="_Toc222114884"/>
    </w:p>
    <w:p w14:paraId="6E823D86">
      <w:pPr>
        <w:shd w:val="clear"/>
        <w:spacing w:line="360" w:lineRule="auto"/>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 具体条款以甲方为主协商确定。但合同条款的基本内容应与以下要求的内容相一致。</w:t>
      </w:r>
    </w:p>
    <w:p w14:paraId="157F3C63">
      <w:pPr>
        <w:pStyle w:val="13"/>
        <w:shd w:val="clear"/>
        <w:spacing w:line="360" w:lineRule="auto"/>
        <w:ind w:left="0" w:leftChars="0" w:right="-21" w:rightChars="-10"/>
        <w:jc w:val="center"/>
        <w:rPr>
          <w:rFonts w:hint="eastAsia" w:ascii="宋体" w:hAnsi="宋体" w:eastAsia="宋体" w:cs="宋体"/>
          <w:b/>
          <w:color w:val="auto"/>
          <w:sz w:val="28"/>
          <w:szCs w:val="28"/>
          <w:highlight w:val="none"/>
        </w:rPr>
      </w:pPr>
    </w:p>
    <w:p w14:paraId="4D3C5B6F">
      <w:pPr>
        <w:pStyle w:val="13"/>
        <w:shd w:val="clear"/>
        <w:spacing w:line="360" w:lineRule="auto"/>
        <w:ind w:left="0" w:leftChars="0" w:right="-21" w:rightChars="-1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监控存储</w:t>
      </w:r>
      <w:r>
        <w:rPr>
          <w:rFonts w:hint="eastAsia" w:ascii="宋体" w:hAnsi="宋体" w:eastAsia="宋体" w:cs="宋体"/>
          <w:b/>
          <w:color w:val="auto"/>
          <w:sz w:val="28"/>
          <w:szCs w:val="28"/>
          <w:highlight w:val="none"/>
        </w:rPr>
        <w:t>合同</w:t>
      </w:r>
    </w:p>
    <w:p w14:paraId="020A65B2">
      <w:pPr>
        <w:keepNext w:val="0"/>
        <w:keepLines w:val="0"/>
        <w:pageBreakBefore w:val="0"/>
        <w:shd w:val="clear"/>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浙江东方职业技术学院</w:t>
      </w:r>
      <w:r>
        <w:rPr>
          <w:rFonts w:hint="eastAsia" w:ascii="宋体" w:hAnsi="宋体" w:eastAsia="宋体" w:cs="宋体"/>
          <w:color w:val="auto"/>
          <w:sz w:val="22"/>
          <w:szCs w:val="22"/>
          <w:highlight w:val="none"/>
        </w:rPr>
        <w:t>（采购人）</w:t>
      </w:r>
    </w:p>
    <w:p w14:paraId="49FA1D33">
      <w:pPr>
        <w:keepNext w:val="0"/>
        <w:keepLines w:val="0"/>
        <w:pageBreakBefore w:val="0"/>
        <w:shd w:val="clear"/>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（中标人）</w:t>
      </w:r>
    </w:p>
    <w:p w14:paraId="67050B20">
      <w:pPr>
        <w:keepNext w:val="0"/>
        <w:keepLines w:val="0"/>
        <w:pageBreakBefore w:val="0"/>
        <w:shd w:val="clear"/>
        <w:kinsoku/>
        <w:wordWrap/>
        <w:topLinePunct w:val="0"/>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浙江东方职业技术学院的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（项目名称、编号）在国内以公开招标方式进行采购，经评标委员会评定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为中标人。双方本着诚信及互利互惠的原则，同意按照下面条款和条件，签署本合同。</w:t>
      </w:r>
    </w:p>
    <w:p w14:paraId="201B287A">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w:t>
      </w:r>
      <w:r>
        <w:rPr>
          <w:rFonts w:hint="eastAsia" w:ascii="宋体" w:hAnsi="宋体" w:eastAsia="宋体" w:cs="宋体"/>
          <w:b/>
          <w:snapToGrid w:val="0"/>
          <w:color w:val="auto"/>
          <w:kern w:val="0"/>
          <w:sz w:val="22"/>
          <w:szCs w:val="22"/>
          <w:highlight w:val="none"/>
        </w:rPr>
        <w:t>货物内容</w:t>
      </w:r>
      <w:r>
        <w:rPr>
          <w:rFonts w:hint="eastAsia" w:ascii="宋体" w:hAnsi="宋体" w:eastAsia="宋体" w:cs="宋体"/>
          <w:b/>
          <w:color w:val="auto"/>
          <w:kern w:val="0"/>
          <w:sz w:val="22"/>
          <w:szCs w:val="22"/>
          <w:highlight w:val="none"/>
        </w:rPr>
        <w:t>及合同价格</w:t>
      </w:r>
    </w:p>
    <w:p w14:paraId="355CE6B2">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right="220" w:firstLine="468" w:firstLineChars="213"/>
        <w:jc w:val="right"/>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金额单位：元 </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1"/>
        <w:gridCol w:w="1266"/>
        <w:gridCol w:w="1266"/>
        <w:gridCol w:w="2170"/>
        <w:gridCol w:w="1715"/>
      </w:tblGrid>
      <w:tr w14:paraId="14D4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2" w:type="pct"/>
            <w:noWrap w:val="0"/>
            <w:vAlign w:val="center"/>
          </w:tcPr>
          <w:p w14:paraId="221E6080">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jc w:val="center"/>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货物名称</w:t>
            </w:r>
          </w:p>
        </w:tc>
        <w:tc>
          <w:tcPr>
            <w:tcW w:w="643" w:type="pct"/>
            <w:noWrap w:val="0"/>
            <w:vAlign w:val="center"/>
          </w:tcPr>
          <w:p w14:paraId="03B55CFD">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jc w:val="center"/>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规格型号</w:t>
            </w:r>
          </w:p>
        </w:tc>
        <w:tc>
          <w:tcPr>
            <w:tcW w:w="643" w:type="pct"/>
            <w:noWrap w:val="0"/>
            <w:vAlign w:val="center"/>
          </w:tcPr>
          <w:p w14:paraId="1972B4A3">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jc w:val="center"/>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w:t>
            </w:r>
          </w:p>
        </w:tc>
        <w:tc>
          <w:tcPr>
            <w:tcW w:w="1102" w:type="pct"/>
            <w:noWrap w:val="0"/>
            <w:vAlign w:val="center"/>
          </w:tcPr>
          <w:p w14:paraId="2AF48A2F">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jc w:val="center"/>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单价（元）</w:t>
            </w:r>
          </w:p>
        </w:tc>
        <w:tc>
          <w:tcPr>
            <w:tcW w:w="869" w:type="pct"/>
            <w:noWrap w:val="0"/>
            <w:vAlign w:val="top"/>
          </w:tcPr>
          <w:p w14:paraId="5C0B717D">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jc w:val="center"/>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总价（元）</w:t>
            </w:r>
          </w:p>
        </w:tc>
      </w:tr>
      <w:tr w14:paraId="710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42" w:type="pct"/>
            <w:noWrap w:val="0"/>
            <w:vAlign w:val="top"/>
          </w:tcPr>
          <w:p w14:paraId="3D21AC09">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7570726E">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2B499D81">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1102" w:type="pct"/>
            <w:noWrap w:val="0"/>
            <w:vAlign w:val="top"/>
          </w:tcPr>
          <w:p w14:paraId="21841A2E">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 </w:t>
            </w:r>
          </w:p>
        </w:tc>
        <w:tc>
          <w:tcPr>
            <w:tcW w:w="869" w:type="pct"/>
            <w:noWrap w:val="0"/>
            <w:vAlign w:val="top"/>
          </w:tcPr>
          <w:p w14:paraId="6E1D2DE1">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r>
      <w:tr w14:paraId="5353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42" w:type="pct"/>
            <w:noWrap w:val="0"/>
            <w:vAlign w:val="top"/>
          </w:tcPr>
          <w:p w14:paraId="449EE560">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508C9B79">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3E221EA8">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1102" w:type="pct"/>
            <w:noWrap w:val="0"/>
            <w:vAlign w:val="top"/>
          </w:tcPr>
          <w:p w14:paraId="20E31480">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c>
          <w:tcPr>
            <w:tcW w:w="869" w:type="pct"/>
            <w:noWrap w:val="0"/>
            <w:vAlign w:val="top"/>
          </w:tcPr>
          <w:p w14:paraId="32AE1BEA">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r>
      <w:tr w14:paraId="154E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42" w:type="pct"/>
            <w:noWrap w:val="0"/>
            <w:vAlign w:val="top"/>
          </w:tcPr>
          <w:p w14:paraId="4633F368">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39E99780">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63CEC1C5">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1102" w:type="pct"/>
            <w:noWrap w:val="0"/>
            <w:vAlign w:val="top"/>
          </w:tcPr>
          <w:p w14:paraId="24574D42">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c>
          <w:tcPr>
            <w:tcW w:w="869" w:type="pct"/>
            <w:noWrap w:val="0"/>
            <w:vAlign w:val="top"/>
          </w:tcPr>
          <w:p w14:paraId="1EE1A54B">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r>
      <w:tr w14:paraId="15E4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42" w:type="pct"/>
            <w:noWrap w:val="0"/>
            <w:vAlign w:val="top"/>
          </w:tcPr>
          <w:p w14:paraId="05FB3550">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36DC9628">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643" w:type="pct"/>
            <w:noWrap w:val="0"/>
            <w:vAlign w:val="top"/>
          </w:tcPr>
          <w:p w14:paraId="5A1CAC58">
            <w:pPr>
              <w:keepNext w:val="0"/>
              <w:keepLines w:val="0"/>
              <w:pageBreakBefore w:val="0"/>
              <w:shd w:val="clear"/>
              <w:kinsoku/>
              <w:wordWrap/>
              <w:topLinePunct w:val="0"/>
              <w:bidi w:val="0"/>
              <w:spacing w:line="360" w:lineRule="exact"/>
              <w:ind w:left="0" w:firstLine="468" w:firstLineChars="213"/>
              <w:rPr>
                <w:rFonts w:hint="eastAsia" w:ascii="宋体" w:hAnsi="宋体" w:eastAsia="宋体" w:cs="宋体"/>
                <w:color w:val="auto"/>
                <w:kern w:val="0"/>
                <w:sz w:val="22"/>
                <w:szCs w:val="22"/>
                <w:highlight w:val="none"/>
              </w:rPr>
            </w:pPr>
          </w:p>
        </w:tc>
        <w:tc>
          <w:tcPr>
            <w:tcW w:w="1102" w:type="pct"/>
            <w:noWrap w:val="0"/>
            <w:vAlign w:val="top"/>
          </w:tcPr>
          <w:p w14:paraId="24D02042">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c>
          <w:tcPr>
            <w:tcW w:w="869" w:type="pct"/>
            <w:noWrap w:val="0"/>
            <w:vAlign w:val="top"/>
          </w:tcPr>
          <w:p w14:paraId="41C812ED">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r>
      <w:tr w14:paraId="0B8E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42" w:type="pct"/>
            <w:noWrap w:val="0"/>
            <w:vAlign w:val="top"/>
          </w:tcPr>
          <w:p w14:paraId="785F0890">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合计</w:t>
            </w:r>
          </w:p>
        </w:tc>
        <w:tc>
          <w:tcPr>
            <w:tcW w:w="643" w:type="pct"/>
            <w:noWrap w:val="0"/>
            <w:vAlign w:val="top"/>
          </w:tcPr>
          <w:p w14:paraId="6CCC65E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firstLine="468" w:firstLineChars="213"/>
              <w:jc w:val="center"/>
              <w:textAlignment w:val="baseline"/>
              <w:rPr>
                <w:rFonts w:hint="eastAsia" w:ascii="宋体" w:hAnsi="宋体" w:eastAsia="宋体" w:cs="宋体"/>
                <w:color w:val="auto"/>
                <w:kern w:val="0"/>
                <w:sz w:val="22"/>
                <w:szCs w:val="22"/>
                <w:highlight w:val="none"/>
              </w:rPr>
            </w:pPr>
          </w:p>
        </w:tc>
        <w:tc>
          <w:tcPr>
            <w:tcW w:w="643" w:type="pct"/>
            <w:noWrap w:val="0"/>
            <w:vAlign w:val="top"/>
          </w:tcPr>
          <w:p w14:paraId="5D6E64A0">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firstLine="468" w:firstLineChars="213"/>
              <w:jc w:val="center"/>
              <w:textAlignment w:val="baseline"/>
              <w:rPr>
                <w:rFonts w:hint="eastAsia" w:ascii="宋体" w:hAnsi="宋体" w:eastAsia="宋体" w:cs="宋体"/>
                <w:color w:val="auto"/>
                <w:kern w:val="0"/>
                <w:sz w:val="22"/>
                <w:szCs w:val="22"/>
                <w:highlight w:val="none"/>
              </w:rPr>
            </w:pPr>
          </w:p>
        </w:tc>
        <w:tc>
          <w:tcPr>
            <w:tcW w:w="1102" w:type="pct"/>
            <w:noWrap w:val="0"/>
            <w:vAlign w:val="top"/>
          </w:tcPr>
          <w:p w14:paraId="2A1EB71D">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c>
          <w:tcPr>
            <w:tcW w:w="869" w:type="pct"/>
            <w:noWrap w:val="0"/>
            <w:vAlign w:val="top"/>
          </w:tcPr>
          <w:p w14:paraId="0D697588">
            <w:pPr>
              <w:keepNext w:val="0"/>
              <w:keepLines w:val="0"/>
              <w:pageBreakBefore w:val="0"/>
              <w:widowControl/>
              <w:shd w:val="clear"/>
              <w:kinsoku/>
              <w:wordWrap/>
              <w:topLinePunct w:val="0"/>
              <w:bidi w:val="0"/>
              <w:spacing w:line="360" w:lineRule="exact"/>
              <w:ind w:left="0" w:firstLine="468" w:firstLineChars="213"/>
              <w:jc w:val="left"/>
              <w:rPr>
                <w:rFonts w:hint="eastAsia" w:ascii="宋体" w:hAnsi="宋体" w:eastAsia="宋体" w:cs="宋体"/>
                <w:snapToGrid w:val="0"/>
                <w:color w:val="auto"/>
                <w:kern w:val="0"/>
                <w:sz w:val="22"/>
                <w:szCs w:val="22"/>
                <w:highlight w:val="none"/>
              </w:rPr>
            </w:pPr>
          </w:p>
        </w:tc>
      </w:tr>
      <w:tr w14:paraId="33ED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5"/>
            <w:noWrap w:val="0"/>
            <w:vAlign w:val="top"/>
          </w:tcPr>
          <w:p w14:paraId="4D3491AD">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合同总价：（人民币大写）：                              小写：</w:t>
            </w:r>
          </w:p>
        </w:tc>
      </w:tr>
    </w:tbl>
    <w:p w14:paraId="16FE6BEA">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注：1、商品型号、数量、配置要求及使用单位地址等详见附件清单。</w:t>
      </w:r>
    </w:p>
    <w:p w14:paraId="2EBC19F1">
      <w:pPr>
        <w:keepNext w:val="0"/>
        <w:keepLines w:val="0"/>
        <w:pageBreakBefore w:val="0"/>
        <w:shd w:val="clear"/>
        <w:kinsoku/>
        <w:wordWrap/>
        <w:topLinePunct w:val="0"/>
        <w:bidi w:val="0"/>
        <w:spacing w:line="360" w:lineRule="exact"/>
        <w:ind w:left="0" w:leftChars="0" w:firstLine="418" w:firstLineChars="190"/>
        <w:rPr>
          <w:rFonts w:hint="eastAsia" w:ascii="宋体" w:hAnsi="宋体" w:eastAsia="宋体" w:cs="宋体"/>
          <w:strike/>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sz w:val="22"/>
          <w:szCs w:val="22"/>
          <w:highlight w:val="none"/>
        </w:rPr>
        <w:t>以上合同总价包括将货物运抵浙江东方职业技术学院指定地点的运费及安装调试、服务等</w:t>
      </w:r>
      <w:r>
        <w:rPr>
          <w:rFonts w:hint="eastAsia" w:ascii="宋体" w:hAnsi="宋体" w:eastAsia="宋体" w:cs="宋体"/>
          <w:color w:val="auto"/>
          <w:kern w:val="0"/>
          <w:sz w:val="22"/>
          <w:szCs w:val="22"/>
          <w:highlight w:val="none"/>
        </w:rPr>
        <w:t>达到用户并能正常使用所需的一切费用。</w:t>
      </w:r>
    </w:p>
    <w:p w14:paraId="31CDCE02">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二、技术资料</w:t>
      </w:r>
    </w:p>
    <w:p w14:paraId="6963062D">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1、乙方应按采购文件规定的时间向甲方提供使用货物的有关技术资料。</w:t>
      </w:r>
    </w:p>
    <w:p w14:paraId="3CD823E9">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DC93449">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三、知识产权</w:t>
      </w:r>
    </w:p>
    <w:p w14:paraId="028B8290">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乙方应保证所提供的货物或其任何一部分均不会侵犯任何第三方的知识产权</w:t>
      </w:r>
      <w:r>
        <w:rPr>
          <w:rFonts w:hint="eastAsia" w:ascii="宋体" w:hAnsi="宋体" w:eastAsia="宋体" w:cs="宋体"/>
          <w:bCs/>
          <w:snapToGrid w:val="0"/>
          <w:color w:val="auto"/>
          <w:kern w:val="0"/>
          <w:sz w:val="22"/>
          <w:szCs w:val="22"/>
          <w:highlight w:val="none"/>
        </w:rPr>
        <w:t>。</w:t>
      </w:r>
    </w:p>
    <w:p w14:paraId="53F0729D">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auto"/>
          <w:kern w:val="0"/>
          <w:sz w:val="22"/>
          <w:szCs w:val="22"/>
          <w:highlight w:val="none"/>
          <w:u w:val="single"/>
        </w:rPr>
      </w:pPr>
      <w:r>
        <w:rPr>
          <w:rFonts w:hint="eastAsia" w:ascii="宋体" w:hAnsi="宋体" w:eastAsia="宋体" w:cs="宋体"/>
          <w:b/>
          <w:snapToGrid w:val="0"/>
          <w:color w:val="auto"/>
          <w:kern w:val="0"/>
          <w:sz w:val="22"/>
          <w:szCs w:val="22"/>
          <w:highlight w:val="none"/>
        </w:rPr>
        <w:t>四、产权担保</w:t>
      </w:r>
    </w:p>
    <w:p w14:paraId="3ED5B529">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u w:val="single"/>
        </w:rPr>
      </w:pPr>
      <w:r>
        <w:rPr>
          <w:rFonts w:hint="eastAsia" w:ascii="宋体" w:hAnsi="宋体" w:eastAsia="宋体" w:cs="宋体"/>
          <w:snapToGrid w:val="0"/>
          <w:color w:val="auto"/>
          <w:kern w:val="0"/>
          <w:sz w:val="22"/>
          <w:szCs w:val="22"/>
          <w:highlight w:val="none"/>
        </w:rPr>
        <w:t>乙方保证所交付的货物的所有权完全属于乙方且无任何抵押、查封等产权瑕疵。</w:t>
      </w:r>
    </w:p>
    <w:p w14:paraId="2C2E843A">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五、转包或分包</w:t>
      </w:r>
    </w:p>
    <w:p w14:paraId="6B3FB4CC">
      <w:pPr>
        <w:keepNext w:val="0"/>
        <w:keepLines w:val="0"/>
        <w:pageBreakBefore w:val="0"/>
        <w:shd w:val="clear"/>
        <w:kinsoku/>
        <w:wordWrap/>
        <w:topLinePunct w:val="0"/>
        <w:bidi w:val="0"/>
        <w:adjustRightInd w:val="0"/>
        <w:snapToGrid w:val="0"/>
        <w:spacing w:line="360" w:lineRule="exact"/>
        <w:ind w:left="0" w:leftChars="0" w:firstLine="418" w:firstLineChars="19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本合同范围的货物，应由乙方直接供应，不得转让他人供应，否则，甲方有权解除合同，并追究乙方的违约责任。</w:t>
      </w:r>
    </w:p>
    <w:p w14:paraId="47E31CC6">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六、质保期</w:t>
      </w:r>
    </w:p>
    <w:p w14:paraId="4489311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color w:val="auto"/>
          <w:kern w:val="0"/>
          <w:sz w:val="22"/>
          <w:szCs w:val="22"/>
          <w:highlight w:val="none"/>
        </w:rPr>
        <w:t>本项目所有产品应提供自货物验收合格并交付使用后</w:t>
      </w:r>
      <w:r>
        <w:rPr>
          <w:rFonts w:hint="eastAsia" w:ascii="宋体" w:hAnsi="宋体" w:eastAsia="宋体" w:cs="宋体"/>
          <w:b/>
          <w:color w:val="auto"/>
          <w:kern w:val="0"/>
          <w:sz w:val="22"/>
          <w:szCs w:val="22"/>
          <w:highlight w:val="none"/>
        </w:rPr>
        <w:t>至少</w:t>
      </w:r>
      <w:r>
        <w:rPr>
          <w:rFonts w:hint="eastAsia" w:ascii="宋体" w:hAnsi="宋体" w:eastAsia="宋体" w:cs="宋体"/>
          <w:b/>
          <w:color w:val="auto"/>
          <w:kern w:val="0"/>
          <w:sz w:val="22"/>
          <w:szCs w:val="22"/>
          <w:highlight w:val="none"/>
          <w:u w:val="single"/>
          <w:lang w:val="en-US" w:eastAsia="zh-CN"/>
        </w:rPr>
        <w:t>3</w:t>
      </w:r>
      <w:r>
        <w:rPr>
          <w:rFonts w:hint="eastAsia" w:ascii="宋体" w:hAnsi="宋体" w:eastAsia="宋体" w:cs="宋体"/>
          <w:b/>
          <w:color w:val="auto"/>
          <w:kern w:val="0"/>
          <w:sz w:val="22"/>
          <w:szCs w:val="22"/>
          <w:highlight w:val="none"/>
          <w:u w:val="single"/>
        </w:rPr>
        <w:t>年（</w:t>
      </w:r>
      <w:r>
        <w:rPr>
          <w:rFonts w:hint="eastAsia" w:ascii="宋体" w:hAnsi="宋体" w:eastAsia="宋体" w:cs="宋体"/>
          <w:b/>
          <w:color w:val="auto"/>
          <w:kern w:val="0"/>
          <w:sz w:val="22"/>
          <w:szCs w:val="22"/>
          <w:highlight w:val="none"/>
          <w:u w:val="single"/>
          <w:lang w:val="en-US" w:eastAsia="zh-CN"/>
        </w:rPr>
        <w:t>36</w:t>
      </w:r>
      <w:r>
        <w:rPr>
          <w:rFonts w:hint="eastAsia" w:ascii="宋体" w:hAnsi="宋体" w:eastAsia="宋体" w:cs="宋体"/>
          <w:b/>
          <w:color w:val="auto"/>
          <w:kern w:val="0"/>
          <w:sz w:val="22"/>
          <w:szCs w:val="22"/>
          <w:highlight w:val="none"/>
          <w:u w:val="single"/>
        </w:rPr>
        <w:t>个月）的现场免费质保</w:t>
      </w:r>
      <w:r>
        <w:rPr>
          <w:rFonts w:hint="eastAsia" w:ascii="宋体" w:hAnsi="宋体" w:eastAsia="宋体" w:cs="宋体"/>
          <w:b/>
          <w:color w:val="auto"/>
          <w:kern w:val="0"/>
          <w:sz w:val="22"/>
          <w:szCs w:val="22"/>
          <w:highlight w:val="none"/>
          <w:u w:val="single"/>
          <w:lang w:eastAsia="zh-CN"/>
        </w:rPr>
        <w:t>（维保）</w:t>
      </w:r>
      <w:r>
        <w:rPr>
          <w:rFonts w:hint="eastAsia" w:ascii="宋体" w:hAnsi="宋体" w:eastAsia="宋体" w:cs="宋体"/>
          <w:b/>
          <w:color w:val="auto"/>
          <w:kern w:val="0"/>
          <w:sz w:val="22"/>
          <w:szCs w:val="22"/>
          <w:highlight w:val="none"/>
          <w:u w:val="single"/>
        </w:rPr>
        <w:t>期</w:t>
      </w:r>
      <w:r>
        <w:rPr>
          <w:rFonts w:hint="eastAsia" w:ascii="宋体" w:hAnsi="宋体" w:eastAsia="宋体" w:cs="宋体"/>
          <w:bCs/>
          <w:color w:val="auto"/>
          <w:kern w:val="0"/>
          <w:sz w:val="22"/>
          <w:szCs w:val="22"/>
          <w:highlight w:val="none"/>
        </w:rPr>
        <w:t>，如厂商本身承诺的产品质保期高于此要求的则按照厂商承诺执行</w:t>
      </w:r>
      <w:r>
        <w:rPr>
          <w:rFonts w:hint="eastAsia" w:ascii="宋体" w:hAnsi="宋体" w:eastAsia="宋体" w:cs="宋体"/>
          <w:bCs/>
          <w:snapToGrid w:val="0"/>
          <w:color w:val="auto"/>
          <w:kern w:val="0"/>
          <w:sz w:val="22"/>
          <w:szCs w:val="22"/>
          <w:highlight w:val="none"/>
        </w:rPr>
        <w:t>。</w:t>
      </w:r>
    </w:p>
    <w:p w14:paraId="4AF648B6">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七、交货期、交货方式及交货地点</w:t>
      </w:r>
    </w:p>
    <w:p w14:paraId="48BD33F3">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1、 交货期：</w:t>
      </w:r>
      <w:r>
        <w:rPr>
          <w:rFonts w:hint="eastAsia" w:ascii="宋体" w:hAnsi="宋体" w:eastAsia="宋体" w:cs="宋体"/>
          <w:color w:val="auto"/>
          <w:sz w:val="22"/>
          <w:szCs w:val="22"/>
          <w:highlight w:val="none"/>
          <w:lang w:val="en-US" w:eastAsia="zh-CN"/>
        </w:rPr>
        <w:t>于2025年11月30日前完成本项目供货、安装并交付使用，具体交付时间及验收时间以甲方要求为准。</w:t>
      </w:r>
    </w:p>
    <w:p w14:paraId="56D22698">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2、 交货方式：（1）现场交货：乙方负责办理运输和保险，将货物运抵甲方指定的现场并落地就位。有关运输和保险的一切费用由乙方承担。所有货物运抵现场的日期为交货日期。</w:t>
      </w:r>
    </w:p>
    <w:p w14:paraId="79628D97">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（2）在现场交货条件下，乙方在货物发运前</w:t>
      </w:r>
      <w:r>
        <w:rPr>
          <w:rFonts w:hint="eastAsia" w:ascii="宋体" w:hAnsi="宋体" w:eastAsia="宋体" w:cs="宋体"/>
          <w:bCs/>
          <w:snapToGrid w:val="0"/>
          <w:color w:val="auto"/>
          <w:kern w:val="0"/>
          <w:sz w:val="22"/>
          <w:szCs w:val="22"/>
          <w:highlight w:val="none"/>
          <w:u w:val="single"/>
        </w:rPr>
        <w:t xml:space="preserve">    </w:t>
      </w:r>
      <w:r>
        <w:rPr>
          <w:rFonts w:hint="eastAsia" w:ascii="宋体" w:hAnsi="宋体" w:eastAsia="宋体" w:cs="宋体"/>
          <w:bCs/>
          <w:snapToGrid w:val="0"/>
          <w:color w:val="auto"/>
          <w:kern w:val="0"/>
          <w:sz w:val="22"/>
          <w:szCs w:val="22"/>
          <w:highlight w:val="none"/>
        </w:rPr>
        <w:t>天，将要发运货物的合同号、货物名称、规格、数量、包装箱件数、重量、包装箱尺寸（长×宽×高）和货物的卸车，贮存的特殊要求以及运输工具名称以及启运日期，以传真形式通知甲方。</w:t>
      </w:r>
    </w:p>
    <w:p w14:paraId="77FEC01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Cs/>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（3）如因乙方延误将上述内容用传真形式通知甲方，由此引起的一切损失应由乙方承担。</w:t>
      </w:r>
    </w:p>
    <w:p w14:paraId="30059B36">
      <w:pPr>
        <w:keepNext w:val="0"/>
        <w:keepLines w:val="0"/>
        <w:pageBreakBefore w:val="0"/>
        <w:shd w:val="clear"/>
        <w:kinsoku/>
        <w:wordWrap/>
        <w:topLinePunct w:val="0"/>
        <w:bidi w:val="0"/>
        <w:spacing w:line="360" w:lineRule="exact"/>
        <w:ind w:left="0" w:leftChars="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（4）在货物运输、到场、卸货、安装调试等过程中，发生人身损害或财产损失事件，一切责任由乙方承担。</w:t>
      </w:r>
    </w:p>
    <w:p w14:paraId="6684A3A2">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Cs/>
          <w:snapToGrid w:val="0"/>
          <w:color w:val="auto"/>
          <w:kern w:val="0"/>
          <w:sz w:val="22"/>
          <w:szCs w:val="22"/>
          <w:highlight w:val="none"/>
        </w:rPr>
        <w:t>3、 交货地点：甲方指定地点。</w:t>
      </w:r>
    </w:p>
    <w:p w14:paraId="54DABD96">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八、货款支付</w:t>
      </w:r>
    </w:p>
    <w:p w14:paraId="27098216">
      <w:pPr>
        <w:keepNext w:val="0"/>
        <w:keepLines w:val="0"/>
        <w:pageBreakBefore w:val="0"/>
        <w:shd w:val="clear"/>
        <w:tabs>
          <w:tab w:val="left" w:pos="720"/>
        </w:tabs>
        <w:kinsoku/>
        <w:wordWrap/>
        <w:topLinePunct w:val="0"/>
        <w:bidi w:val="0"/>
        <w:spacing w:line="360" w:lineRule="exact"/>
        <w:ind w:left="0" w:leftChars="0" w:firstLine="418" w:firstLineChars="19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合同签订前，乙方须向甲方提供合同金额2.5%的履约保证金。如乙方在签约前未在规定的时间内提交履约保证金则甲方有权拒签合同。合同签订后待乙方完成全部货物的生产、运输、安装后，甲方在15个工作日内乙方支付合同总额30%的货款。待所有货物完成最终调试并通过验收后15个工作日内，甲方向乙方支付剩余合同总额70%的货款（每笔款项支付前乙方必须开具与合同金额相等的正规有效的增值税普通发票）。剩余2.5%的履约保证金转为质保金，待质保期满后无质量问题15个工作日内一次性无息退还。</w:t>
      </w:r>
    </w:p>
    <w:p w14:paraId="1E104C7A">
      <w:pPr>
        <w:keepNext w:val="0"/>
        <w:keepLines w:val="0"/>
        <w:pageBreakBefore w:val="0"/>
        <w:shd w:val="clear"/>
        <w:kinsoku/>
        <w:wordWrap/>
        <w:topLinePunct w:val="0"/>
        <w:bidi w:val="0"/>
        <w:adjustRightInd w:val="0"/>
        <w:snapToGrid w:val="0"/>
        <w:spacing w:line="360" w:lineRule="exac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九、税费</w:t>
      </w:r>
    </w:p>
    <w:p w14:paraId="04BC3874">
      <w:pPr>
        <w:keepNext w:val="0"/>
        <w:keepLines w:val="0"/>
        <w:pageBreakBefore w:val="0"/>
        <w:shd w:val="clear"/>
        <w:kinsoku/>
        <w:wordWrap/>
        <w:topLinePunct w:val="0"/>
        <w:bidi w:val="0"/>
        <w:adjustRightInd w:val="0"/>
        <w:snapToGrid w:val="0"/>
        <w:spacing w:line="360" w:lineRule="exact"/>
        <w:ind w:left="0" w:leftChars="0" w:firstLine="418" w:firstLineChars="19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本合同执行中相关的一切税费均由乙方负担。</w:t>
      </w:r>
    </w:p>
    <w:p w14:paraId="555D1DFE">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十、质量保证及售后服务</w:t>
      </w:r>
    </w:p>
    <w:p w14:paraId="2CBE3F06">
      <w:pPr>
        <w:keepNext w:val="0"/>
        <w:keepLines w:val="0"/>
        <w:pageBreakBefore w:val="0"/>
        <w:shd w:val="clear"/>
        <w:kinsoku/>
        <w:wordWrap/>
        <w:topLinePunct w:val="0"/>
        <w:bidi w:val="0"/>
        <w:spacing w:line="360" w:lineRule="exact"/>
        <w:ind w:left="0" w:leftChars="0" w:firstLine="418" w:firstLineChars="190"/>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1、乙方保证本合同中所供应的商品是最新生产的符合国家技术规格和质量标准的出厂原装合格产品。如发生所供商品与合同不符，甲方（使用方）有权拒收或退货，由此产生的一切责任和后果由乙方承担。</w:t>
      </w:r>
      <w:r>
        <w:rPr>
          <w:rFonts w:hint="eastAsia" w:ascii="宋体" w:hAnsi="宋体" w:eastAsia="宋体" w:cs="宋体"/>
          <w:color w:val="auto"/>
          <w:sz w:val="22"/>
          <w:szCs w:val="22"/>
          <w:highlight w:val="none"/>
        </w:rPr>
        <w:t>乙方应保证所提供的货物经正常运行和保养，在其使用寿命期内应具有使甲方满意的性能，并且确保一次性通过各项检验和测试。在货物质量保证期内，乙方应对由于设计、工艺、材料和配套件的缺陷所产生的任何不足或故障负责。</w:t>
      </w:r>
    </w:p>
    <w:p w14:paraId="4C07ED25">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 乙方提供的货物在质保期内因货物本身的质量问题发生故障，乙方应负责免费更换。对达不到技术要求者，根据实际情况，经双方协商，可按以下办法处理：</w:t>
      </w:r>
    </w:p>
    <w:p w14:paraId="7FD30122">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更换：由乙方承担所发生的全部费用。</w:t>
      </w:r>
    </w:p>
    <w:p w14:paraId="464FE4B2">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值处理：由甲乙双方合议定价。</w:t>
      </w:r>
    </w:p>
    <w:p w14:paraId="3C3FBC97">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退货处理：乙方应退还甲方支付的合同款，同时应承担该货物的直接费用（运输、保险、检验、货款利息及银行手续费等）。</w:t>
      </w:r>
    </w:p>
    <w:p w14:paraId="2025F6F3">
      <w:pPr>
        <w:keepNext w:val="0"/>
        <w:keepLines w:val="0"/>
        <w:pageBreakBefore w:val="0"/>
        <w:shd w:val="clear"/>
        <w:kinsoku/>
        <w:wordWrap/>
        <w:topLinePunct w:val="0"/>
        <w:bidi w:val="0"/>
        <w:spacing w:line="360" w:lineRule="exact"/>
        <w:ind w:left="0" w:leftChars="0" w:firstLine="418" w:firstLineChars="190"/>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 xml:space="preserve">3、 </w:t>
      </w:r>
      <w:r>
        <w:rPr>
          <w:rFonts w:hint="eastAsia" w:ascii="宋体" w:hAnsi="宋体" w:eastAsia="宋体" w:cs="宋体"/>
          <w:color w:val="auto"/>
          <w:sz w:val="22"/>
          <w:szCs w:val="22"/>
          <w:highlight w:val="none"/>
        </w:rPr>
        <w:t>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29B1356B">
      <w:pPr>
        <w:keepNext w:val="0"/>
        <w:keepLines w:val="0"/>
        <w:pageBreakBefore w:val="0"/>
        <w:shd w:val="clear"/>
        <w:kinsoku/>
        <w:wordWrap/>
        <w:topLinePunct w:val="0"/>
        <w:bidi w:val="0"/>
        <w:spacing w:line="360" w:lineRule="exact"/>
        <w:ind w:left="0" w:leftChars="0" w:firstLine="418" w:firstLineChars="190"/>
        <w:rPr>
          <w:rFonts w:hint="eastAsia" w:ascii="宋体" w:hAnsi="宋体" w:eastAsia="宋体" w:cs="宋体"/>
          <w:b/>
          <w:bCs/>
          <w:color w:val="auto"/>
          <w:sz w:val="22"/>
          <w:szCs w:val="22"/>
          <w:highlight w:val="none"/>
        </w:rPr>
      </w:pPr>
      <w:r>
        <w:rPr>
          <w:rFonts w:hint="eastAsia" w:ascii="宋体" w:hAnsi="宋体" w:eastAsia="宋体" w:cs="宋体"/>
          <w:snapToGrid w:val="0"/>
          <w:color w:val="auto"/>
          <w:kern w:val="0"/>
          <w:sz w:val="22"/>
          <w:szCs w:val="22"/>
          <w:highlight w:val="none"/>
        </w:rPr>
        <w:t>4、</w:t>
      </w:r>
      <w:r>
        <w:rPr>
          <w:rFonts w:hint="eastAsia" w:ascii="宋体" w:hAnsi="宋体" w:eastAsia="宋体" w:cs="宋体"/>
          <w:b/>
          <w:bCs/>
          <w:color w:val="auto"/>
          <w:sz w:val="22"/>
          <w:szCs w:val="22"/>
          <w:highlight w:val="none"/>
        </w:rPr>
        <w:t xml:space="preserve">本合同项下货物质量保证期为自货物通过最终验收，向甲方移交之日起 </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年（</w:t>
      </w:r>
      <w:r>
        <w:rPr>
          <w:rFonts w:hint="eastAsia" w:ascii="宋体" w:hAnsi="宋体" w:eastAsia="宋体" w:cs="宋体"/>
          <w:b/>
          <w:bCs/>
          <w:color w:val="auto"/>
          <w:sz w:val="22"/>
          <w:szCs w:val="22"/>
          <w:highlight w:val="none"/>
          <w:lang w:val="en-US" w:eastAsia="zh-CN"/>
        </w:rPr>
        <w:t>36</w:t>
      </w:r>
      <w:r>
        <w:rPr>
          <w:rFonts w:hint="eastAsia" w:ascii="宋体" w:hAnsi="宋体" w:eastAsia="宋体" w:cs="宋体"/>
          <w:b/>
          <w:bCs/>
          <w:color w:val="auto"/>
          <w:sz w:val="22"/>
          <w:szCs w:val="22"/>
          <w:highlight w:val="none"/>
        </w:rPr>
        <w:t>个月）（货物另有超过质保期规定或乙方投标文件另有承诺的按就高原则执行），在保质期内所产生的相关费用由乙方承担，合同内的所有货物要求乙方提供上门服务。在保修期内所产生的相关费用由乙方承担，并提供 7×24 小时应急响应服务，故障响应时间不超过</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小时，一般故障</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小时内修复，重大故障</w:t>
      </w:r>
      <w:r>
        <w:rPr>
          <w:rFonts w:hint="eastAsia" w:ascii="宋体" w:hAnsi="宋体" w:eastAsia="宋体" w:cs="宋体"/>
          <w:b/>
          <w:bCs/>
          <w:color w:val="auto"/>
          <w:sz w:val="22"/>
          <w:szCs w:val="22"/>
          <w:highlight w:val="none"/>
          <w:lang w:val="en-US" w:eastAsia="zh-CN"/>
        </w:rPr>
        <w:t>24</w:t>
      </w:r>
      <w:r>
        <w:rPr>
          <w:rFonts w:hint="eastAsia" w:ascii="宋体" w:hAnsi="宋体" w:eastAsia="宋体" w:cs="宋体"/>
          <w:b/>
          <w:bCs/>
          <w:color w:val="auto"/>
          <w:sz w:val="22"/>
          <w:szCs w:val="22"/>
          <w:highlight w:val="none"/>
        </w:rPr>
        <w:t>小时内解决，确保监控存储系统持续稳定运行。</w:t>
      </w:r>
    </w:p>
    <w:p w14:paraId="3C593FB5">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十一、调试和验收</w:t>
      </w:r>
    </w:p>
    <w:p w14:paraId="0DF342C9">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 甲方对乙方提交的货物依据采购文件上的技术规格要求和国家有关质量标准进行现场验收。待所有货物交货、安装调试完毕，由乙方提交验收申请报告和交付函，甲方在3个月内安排最终验收（如有第三方验收，费用由乙方承担）。</w:t>
      </w:r>
    </w:p>
    <w:p w14:paraId="15B857DA">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 乙方交货前应对产品作出全面检查和对验收文件进行整理，并列出清单，作为甲方收货验收和使用的技术条件依据，检验的结果应随货物交甲方。</w:t>
      </w:r>
    </w:p>
    <w:p w14:paraId="6BBC592B">
      <w:pPr>
        <w:keepNext w:val="0"/>
        <w:keepLines w:val="0"/>
        <w:pageBreakBefore w:val="0"/>
        <w:shd w:val="clear"/>
        <w:kinsoku/>
        <w:wordWrap/>
        <w:topLinePunct w:val="0"/>
        <w:bidi w:val="0"/>
        <w:spacing w:line="360" w:lineRule="exact"/>
        <w:ind w:left="0" w:leftChars="0" w:firstLine="418" w:firstLineChars="190"/>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3、 甲方对乙方提供的货物在使用前进行调试时，乙方需负责安装并培训甲方的使用操作人员，并协助甲方一起调试，直到符合技术要求，甲方才做最终验收。</w:t>
      </w:r>
      <w:r>
        <w:rPr>
          <w:rFonts w:hint="eastAsia" w:ascii="宋体" w:hAnsi="宋体" w:eastAsia="宋体" w:cs="宋体"/>
          <w:color w:val="auto"/>
          <w:sz w:val="22"/>
          <w:szCs w:val="22"/>
          <w:highlight w:val="none"/>
        </w:rPr>
        <w:t>验收应在甲方和乙方双方共同参加下进行。</w:t>
      </w:r>
      <w:r>
        <w:rPr>
          <w:rFonts w:hint="eastAsia" w:ascii="宋体" w:hAnsi="宋体" w:eastAsia="宋体" w:cs="宋体"/>
          <w:b/>
          <w:color w:val="auto"/>
          <w:sz w:val="22"/>
          <w:szCs w:val="22"/>
          <w:highlight w:val="none"/>
        </w:rPr>
        <w:t>货物到达现场后，卖方必须派员工到现场与买方一起开箱并按供货清单验收,若有缺少或损坏，卖方应立即补足或更换全新同规格产品，直至买方满意为止，</w:t>
      </w:r>
      <w:r>
        <w:rPr>
          <w:rFonts w:hint="eastAsia" w:ascii="宋体" w:hAnsi="宋体" w:eastAsia="宋体" w:cs="宋体"/>
          <w:color w:val="auto"/>
          <w:sz w:val="22"/>
          <w:szCs w:val="22"/>
          <w:highlight w:val="none"/>
        </w:rPr>
        <w:t>换货的相关费用由乙方承担。</w:t>
      </w:r>
    </w:p>
    <w:p w14:paraId="2CEAAFE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 对技术复杂的货物，甲方应请国家认可的专业检测机构参与验收，并由其出具质量检测报告。</w:t>
      </w:r>
    </w:p>
    <w:p w14:paraId="52AFDCED">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5、 验收时乙方在现场，验收完毕后作出验收结果报告；验收费用由乙方负责。</w:t>
      </w:r>
    </w:p>
    <w:p w14:paraId="0AC62B71">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十二、货物包装</w:t>
      </w:r>
    </w:p>
    <w:p w14:paraId="289C69B9">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 乙方应在货物发运前对其进行满足运输距离、防潮、防震、防锈和防破损装卸等要求包装，以保证货物安全运达甲方指定地点。</w:t>
      </w:r>
    </w:p>
    <w:p w14:paraId="2B1A0528">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 使用说明书、质量检验证明书、随配附件和工具以及清单一并附于货物内。</w:t>
      </w:r>
    </w:p>
    <w:p w14:paraId="7DD23844">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十三、违约责任</w:t>
      </w:r>
    </w:p>
    <w:p w14:paraId="74CDA50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 甲方无正当理由拒收货物的，甲方向乙方偿付拒收货款总值的百分之五违约金。</w:t>
      </w:r>
    </w:p>
    <w:p w14:paraId="267BB456">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 甲方无故逾期验收和办理货款支付手续的,甲方应按逾期付款总额每日万分之五向乙方支付违约金。</w:t>
      </w:r>
    </w:p>
    <w:p w14:paraId="4CAD34A2">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660316A6">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7EDC24A6">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十四、不可抗力事件处理</w:t>
      </w:r>
    </w:p>
    <w:p w14:paraId="5C634516">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 在合同有效期内，任何一方因不可抗力事件导致不能履行合同，则合同履行期可延长，其延长期与不可抗力影响期相同。</w:t>
      </w:r>
    </w:p>
    <w:p w14:paraId="1E4D432C">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 不可抗力事件发生后，应立即通知对方，并寄送有关权威机构出具的证明。</w:t>
      </w:r>
    </w:p>
    <w:p w14:paraId="19284C11">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 不可抗力事件延续120天以上，双方应通过友好协商，确定是否继续履行合同。</w:t>
      </w:r>
    </w:p>
    <w:p w14:paraId="072F0020">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十五、诉讼</w:t>
      </w:r>
    </w:p>
    <w:p w14:paraId="3D7F0AC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双方在执行合同中所发生的一切争议，应通过协商解决。如协商不成，可向甲方所在地法院起诉。</w:t>
      </w:r>
    </w:p>
    <w:p w14:paraId="46082120">
      <w:pPr>
        <w:keepNext w:val="0"/>
        <w:keepLines w:val="0"/>
        <w:pageBreakBefore w:val="0"/>
        <w:widowControl/>
        <w:shd w:val="clear"/>
        <w:kinsoku/>
        <w:wordWrap/>
        <w:overflowPunct w:val="0"/>
        <w:topLinePunct w:val="0"/>
        <w:autoSpaceDE w:val="0"/>
        <w:autoSpaceDN w:val="0"/>
        <w:bidi w:val="0"/>
        <w:adjustRightInd w:val="0"/>
        <w:snapToGrid w:val="0"/>
        <w:spacing w:line="360" w:lineRule="exact"/>
        <w:jc w:val="left"/>
        <w:textAlignment w:val="baseline"/>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十六、合同生效及其它</w:t>
      </w:r>
    </w:p>
    <w:p w14:paraId="0CD2CE0F">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1、合同经甲、乙双方签署并加盖单位公章后生效。</w:t>
      </w:r>
    </w:p>
    <w:p w14:paraId="3135CFC1">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2、合同执行中涉及采购资金和采购内容修改或补充的，须双方协商后并签书面补充协议，方可作为主合同不可分割的一部分。</w:t>
      </w:r>
    </w:p>
    <w:p w14:paraId="3732AC4F">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3、采购文件、投标文件与本合同具有同等法律效力。</w:t>
      </w:r>
    </w:p>
    <w:p w14:paraId="41B4FB18">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4、本合同未尽事宜，遵照《民法典》有关条文执行。</w:t>
      </w:r>
    </w:p>
    <w:p w14:paraId="54BE9BFC">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left="0" w:leftChars="0" w:firstLine="418" w:firstLineChars="190"/>
        <w:jc w:val="left"/>
        <w:textAlignment w:val="baseline"/>
        <w:rPr>
          <w:rFonts w:hint="eastAsia" w:ascii="宋体" w:hAnsi="宋体" w:eastAsia="宋体" w:cs="宋体"/>
          <w:color w:val="auto"/>
          <w:kern w:val="0"/>
          <w:sz w:val="22"/>
          <w:szCs w:val="22"/>
          <w:highlight w:val="none"/>
        </w:rPr>
      </w:pPr>
      <w:r>
        <w:rPr>
          <w:rFonts w:hint="eastAsia" w:ascii="宋体" w:hAnsi="宋体" w:eastAsia="宋体" w:cs="宋体"/>
          <w:snapToGrid w:val="0"/>
          <w:color w:val="auto"/>
          <w:kern w:val="0"/>
          <w:sz w:val="22"/>
          <w:szCs w:val="22"/>
          <w:highlight w:val="none"/>
        </w:rPr>
        <w:t>5、本合同壹式伍份，具有同等法律效力，甲、乙双方各执贰份，壹份送至采购代理机构备案。</w:t>
      </w:r>
    </w:p>
    <w:p w14:paraId="68AB489A">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p>
    <w:p w14:paraId="1ABCB19B">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甲方（盖章）：                                   </w:t>
      </w:r>
    </w:p>
    <w:p w14:paraId="216B4091">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地址：                                   </w:t>
      </w:r>
    </w:p>
    <w:p w14:paraId="3F04D0F5">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法定（授权）代表人：                   </w:t>
      </w:r>
    </w:p>
    <w:p w14:paraId="164C5434">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签订日期：     年   月   日      </w:t>
      </w:r>
    </w:p>
    <w:p w14:paraId="44440504">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p>
    <w:p w14:paraId="5F1A210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乙方（盖章）：</w:t>
      </w:r>
    </w:p>
    <w:p w14:paraId="0559B23D">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地址： </w:t>
      </w:r>
    </w:p>
    <w:p w14:paraId="467A5942">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开户行：</w:t>
      </w:r>
    </w:p>
    <w:p w14:paraId="528D8867">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开户账号：</w:t>
      </w:r>
    </w:p>
    <w:p w14:paraId="6532AE7E">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法定（授权）代表人：</w:t>
      </w:r>
    </w:p>
    <w:p w14:paraId="5A724675">
      <w:pPr>
        <w:keepNext w:val="0"/>
        <w:keepLines w:val="0"/>
        <w:pageBreakBefore w:val="0"/>
        <w:widowControl/>
        <w:shd w:val="clear"/>
        <w:kinsoku/>
        <w:wordWrap/>
        <w:overflowPunct w:val="0"/>
        <w:topLinePunct w:val="0"/>
        <w:autoSpaceDE w:val="0"/>
        <w:autoSpaceDN w:val="0"/>
        <w:bidi w:val="0"/>
        <w:adjustRightInd w:val="0"/>
        <w:snapToGrid w:val="0"/>
        <w:spacing w:line="360" w:lineRule="exact"/>
        <w:ind w:firstLine="468" w:firstLineChars="213"/>
        <w:jc w:val="left"/>
        <w:textAlignment w:val="baseline"/>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签订日期：      年   月   日</w:t>
      </w:r>
      <w:r>
        <w:rPr>
          <w:rFonts w:hint="eastAsia" w:ascii="宋体" w:hAnsi="宋体" w:eastAsia="宋体" w:cs="宋体"/>
          <w:color w:val="auto"/>
          <w:sz w:val="22"/>
          <w:szCs w:val="22"/>
          <w:highlight w:val="none"/>
        </w:rPr>
        <w:t xml:space="preserve">        </w:t>
      </w:r>
    </w:p>
    <w:p w14:paraId="3AD632BC">
      <w:pPr>
        <w:keepNext w:val="0"/>
        <w:keepLines w:val="0"/>
        <w:pageBreakBefore w:val="0"/>
        <w:shd w:val="clear"/>
        <w:kinsoku/>
        <w:wordWrap/>
        <w:topLinePunct w:val="0"/>
        <w:bidi w:val="0"/>
        <w:spacing w:line="360" w:lineRule="exact"/>
        <w:rPr>
          <w:rFonts w:hint="eastAsia" w:ascii="宋体" w:hAnsi="宋体" w:eastAsia="宋体" w:cs="宋体"/>
          <w:color w:val="auto"/>
          <w:sz w:val="22"/>
          <w:szCs w:val="22"/>
          <w:highlight w:val="none"/>
        </w:rPr>
      </w:pPr>
    </w:p>
    <w:p w14:paraId="3F363E4B">
      <w:pPr>
        <w:shd w:val="clear"/>
        <w:spacing w:line="360" w:lineRule="exact"/>
        <w:rPr>
          <w:rFonts w:hint="eastAsia" w:ascii="宋体" w:hAnsi="宋体" w:eastAsia="宋体" w:cs="宋体"/>
          <w:color w:val="auto"/>
          <w:sz w:val="22"/>
          <w:szCs w:val="22"/>
          <w:highlight w:val="none"/>
        </w:rPr>
      </w:pPr>
    </w:p>
    <w:p w14:paraId="7059ED0E">
      <w:pPr>
        <w:shd w:val="clear"/>
        <w:spacing w:line="360" w:lineRule="exact"/>
        <w:rPr>
          <w:rFonts w:hint="eastAsia" w:ascii="宋体" w:hAnsi="宋体" w:eastAsia="宋体" w:cs="宋体"/>
          <w:b/>
          <w:color w:val="auto"/>
          <w:sz w:val="22"/>
          <w:szCs w:val="22"/>
          <w:highlight w:val="none"/>
        </w:rPr>
      </w:pPr>
    </w:p>
    <w:p w14:paraId="44E8216E">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u w:val="single"/>
        </w:rPr>
        <w:t>本合同仅为合同书样本，中标人需根据实际情况与采购人签订正式合同</w:t>
      </w:r>
      <w:r>
        <w:rPr>
          <w:rFonts w:hint="eastAsia" w:ascii="宋体" w:hAnsi="宋体" w:eastAsia="宋体" w:cs="宋体"/>
          <w:b/>
          <w:color w:val="auto"/>
          <w:sz w:val="22"/>
          <w:szCs w:val="22"/>
          <w:highlight w:val="none"/>
        </w:rPr>
        <w:t>。</w:t>
      </w:r>
    </w:p>
    <w:p w14:paraId="18574FA8">
      <w:pPr>
        <w:shd w:val="clear"/>
        <w:tabs>
          <w:tab w:val="left" w:pos="360"/>
        </w:tabs>
        <w:spacing w:line="360" w:lineRule="auto"/>
        <w:jc w:val="center"/>
        <w:outlineLvl w:val="0"/>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bookmarkStart w:id="153" w:name="_Toc7578"/>
      <w:r>
        <w:rPr>
          <w:rFonts w:hint="eastAsia" w:ascii="宋体" w:hAnsi="宋体" w:eastAsia="宋体" w:cs="宋体"/>
          <w:b/>
          <w:bCs/>
          <w:color w:val="auto"/>
          <w:sz w:val="36"/>
          <w:szCs w:val="36"/>
          <w:highlight w:val="none"/>
        </w:rPr>
        <w:t>第三部分  附件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8979993">
      <w:pPr>
        <w:shd w:val="clea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附件一</w:t>
      </w:r>
    </w:p>
    <w:p w14:paraId="1AEB896D">
      <w:pPr>
        <w:shd w:val="clear"/>
        <w:spacing w:line="38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资格部分</w:t>
      </w:r>
    </w:p>
    <w:p w14:paraId="5903D916">
      <w:pPr>
        <w:shd w:val="clea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（1）-1法定代表人声明书</w:t>
      </w:r>
    </w:p>
    <w:p w14:paraId="03AC0D91">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7A912EB7">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2EBA27C7">
      <w:pPr>
        <w:shd w:val="clea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u w:val="single"/>
        </w:rPr>
        <w:t>（投标人全称）</w:t>
      </w:r>
      <w:r>
        <w:rPr>
          <w:rFonts w:hint="eastAsia" w:ascii="宋体" w:hAnsi="宋体" w:eastAsia="宋体" w:cs="宋体"/>
          <w:color w:val="auto"/>
          <w:sz w:val="22"/>
          <w:szCs w:val="22"/>
          <w:highlight w:val="none"/>
        </w:rPr>
        <w:t>的法定代表人。我公司参加贵单位组织的</w:t>
      </w:r>
      <w:r>
        <w:rPr>
          <w:rFonts w:hint="eastAsia" w:ascii="宋体" w:hAnsi="宋体" w:eastAsia="宋体" w:cs="宋体"/>
          <w:color w:val="auto"/>
          <w:sz w:val="22"/>
          <w:szCs w:val="22"/>
          <w:highlight w:val="none"/>
          <w:u w:val="single"/>
        </w:rPr>
        <w:t>（项目名称、项目编号）</w:t>
      </w:r>
      <w:r>
        <w:rPr>
          <w:rFonts w:hint="eastAsia" w:ascii="宋体" w:hAnsi="宋体" w:eastAsia="宋体" w:cs="宋体"/>
          <w:color w:val="auto"/>
          <w:sz w:val="22"/>
          <w:szCs w:val="22"/>
          <w:highlight w:val="none"/>
        </w:rPr>
        <w:t>的采购活动，由我本人全权代表我方处理采购活动中的一切事宜。联系方式如下：</w:t>
      </w:r>
      <w:r>
        <w:rPr>
          <w:rFonts w:hint="eastAsia" w:ascii="宋体" w:hAnsi="宋体" w:eastAsia="宋体" w:cs="宋体"/>
          <w:color w:val="auto"/>
          <w:sz w:val="22"/>
          <w:szCs w:val="22"/>
          <w:highlight w:val="none"/>
          <w:u w:val="single"/>
        </w:rPr>
        <w:t xml:space="preserve">手机号码：       联系邮箱：         详细通讯地址：             </w:t>
      </w:r>
      <w:r>
        <w:rPr>
          <w:rFonts w:hint="eastAsia" w:ascii="宋体" w:hAnsi="宋体" w:eastAsia="宋体" w:cs="宋体"/>
          <w:color w:val="auto"/>
          <w:sz w:val="22"/>
          <w:szCs w:val="22"/>
          <w:highlight w:val="none"/>
        </w:rPr>
        <w:t xml:space="preserve"> 。  </w:t>
      </w:r>
    </w:p>
    <w:p w14:paraId="3694DC87">
      <w:pPr>
        <w:shd w:val="clear"/>
        <w:spacing w:line="400" w:lineRule="exact"/>
        <w:rPr>
          <w:rFonts w:hint="eastAsia" w:ascii="宋体" w:hAnsi="宋体" w:eastAsia="宋体" w:cs="宋体"/>
          <w:color w:val="auto"/>
          <w:sz w:val="22"/>
          <w:szCs w:val="22"/>
          <w:highlight w:val="none"/>
        </w:rPr>
      </w:pPr>
    </w:p>
    <w:p w14:paraId="07DCFBB7">
      <w:pPr>
        <w:shd w:val="clear"/>
        <w:spacing w:line="400" w:lineRule="exact"/>
        <w:rPr>
          <w:rFonts w:hint="eastAsia" w:ascii="宋体" w:hAnsi="宋体" w:eastAsia="宋体" w:cs="宋体"/>
          <w:color w:val="auto"/>
          <w:sz w:val="22"/>
          <w:szCs w:val="22"/>
          <w:highlight w:val="none"/>
        </w:rPr>
      </w:pPr>
    </w:p>
    <w:p w14:paraId="43B158B2">
      <w:pPr>
        <w:shd w:val="clear"/>
        <w:spacing w:line="400" w:lineRule="exact"/>
        <w:rPr>
          <w:rFonts w:hint="eastAsia" w:ascii="宋体" w:hAnsi="宋体" w:eastAsia="宋体" w:cs="宋体"/>
          <w:color w:val="auto"/>
          <w:sz w:val="22"/>
          <w:szCs w:val="22"/>
          <w:highlight w:val="none"/>
        </w:rPr>
      </w:pPr>
    </w:p>
    <w:p w14:paraId="05A48DDE">
      <w:pPr>
        <w:shd w:val="clear"/>
        <w:spacing w:line="460" w:lineRule="exact"/>
        <w:ind w:firstLine="3968" w:firstLineChars="1804"/>
        <w:rPr>
          <w:rFonts w:hint="eastAsia" w:ascii="宋体" w:hAnsi="宋体" w:eastAsia="宋体" w:cs="宋体"/>
          <w:color w:val="auto"/>
          <w:sz w:val="22"/>
          <w:szCs w:val="22"/>
          <w:highlight w:val="none"/>
        </w:rPr>
      </w:pPr>
    </w:p>
    <w:p w14:paraId="14E33207">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投标人名称（盖章）：</w:t>
      </w:r>
    </w:p>
    <w:p w14:paraId="6B02E8BE">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69A7B5AF">
      <w:pPr>
        <w:shd w:val="clear"/>
        <w:spacing w:line="460" w:lineRule="exact"/>
        <w:rPr>
          <w:rFonts w:hint="eastAsia" w:ascii="宋体" w:hAnsi="宋体" w:eastAsia="宋体" w:cs="宋体"/>
          <w:color w:val="auto"/>
          <w:sz w:val="22"/>
          <w:szCs w:val="22"/>
          <w:highlight w:val="none"/>
        </w:rPr>
      </w:pPr>
    </w:p>
    <w:p w14:paraId="61F1F3BB">
      <w:pPr>
        <w:shd w:val="clear"/>
        <w:jc w:val="left"/>
        <w:rPr>
          <w:rFonts w:hint="eastAsia" w:ascii="宋体" w:hAnsi="宋体" w:eastAsia="宋体" w:cs="宋体"/>
          <w:color w:val="auto"/>
          <w:sz w:val="22"/>
          <w:szCs w:val="22"/>
          <w:highlight w:val="none"/>
        </w:rPr>
      </w:pPr>
    </w:p>
    <w:p w14:paraId="1A204220">
      <w:pPr>
        <w:shd w:val="clear"/>
        <w:jc w:val="left"/>
        <w:rPr>
          <w:rFonts w:hint="eastAsia" w:ascii="宋体" w:hAnsi="宋体" w:eastAsia="宋体" w:cs="宋体"/>
          <w:color w:val="auto"/>
          <w:sz w:val="22"/>
          <w:szCs w:val="22"/>
          <w:highlight w:val="none"/>
        </w:rPr>
      </w:pPr>
    </w:p>
    <w:p w14:paraId="62957C65">
      <w:pPr>
        <w:shd w:val="clear"/>
        <w:jc w:val="left"/>
        <w:rPr>
          <w:rFonts w:hint="eastAsia" w:ascii="宋体" w:hAnsi="宋体" w:eastAsia="宋体" w:cs="宋体"/>
          <w:color w:val="auto"/>
          <w:szCs w:val="21"/>
          <w:highlight w:val="none"/>
        </w:rPr>
      </w:pPr>
      <w:r>
        <w:rPr>
          <w:rFonts w:hint="eastAsia" w:ascii="宋体" w:hAnsi="宋体" w:eastAsia="宋体" w:cs="宋体"/>
          <w:b/>
          <w:color w:val="auto"/>
          <w:sz w:val="22"/>
          <w:szCs w:val="22"/>
          <w:highlight w:val="none"/>
        </w:rPr>
        <w:t>附：法定代表人身份证正反面复印件</w:t>
      </w:r>
    </w:p>
    <w:p w14:paraId="1BD2266E">
      <w:pPr>
        <w:shd w:val="clea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（1）-2法定代表人授权书</w:t>
      </w:r>
    </w:p>
    <w:p w14:paraId="6819077A">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2340B208">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03FAA72A">
      <w:pPr>
        <w:shd w:val="clea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（投标人全称）</w:t>
      </w:r>
      <w:r>
        <w:rPr>
          <w:rFonts w:hint="eastAsia" w:ascii="宋体" w:hAnsi="宋体" w:eastAsia="宋体" w:cs="宋体"/>
          <w:color w:val="auto"/>
          <w:sz w:val="22"/>
          <w:szCs w:val="22"/>
          <w:highlight w:val="none"/>
        </w:rPr>
        <w:t xml:space="preserve">法定代表人 </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 xml:space="preserve"> 授权</w:t>
      </w:r>
      <w:r>
        <w:rPr>
          <w:rFonts w:hint="eastAsia" w:ascii="宋体" w:hAnsi="宋体" w:eastAsia="宋体" w:cs="宋体"/>
          <w:color w:val="auto"/>
          <w:sz w:val="22"/>
          <w:szCs w:val="22"/>
          <w:highlight w:val="none"/>
          <w:u w:val="single"/>
        </w:rPr>
        <w:t>（委托代理人姓名）</w:t>
      </w:r>
      <w:r>
        <w:rPr>
          <w:rFonts w:hint="eastAsia" w:ascii="宋体" w:hAnsi="宋体" w:eastAsia="宋体" w:cs="宋体"/>
          <w:color w:val="auto"/>
          <w:sz w:val="22"/>
          <w:szCs w:val="22"/>
          <w:highlight w:val="none"/>
        </w:rPr>
        <w:t>为本项目全权代表，参加贵单位组织的</w:t>
      </w:r>
      <w:r>
        <w:rPr>
          <w:rFonts w:hint="eastAsia" w:ascii="宋体" w:hAnsi="宋体" w:eastAsia="宋体" w:cs="宋体"/>
          <w:color w:val="auto"/>
          <w:sz w:val="22"/>
          <w:szCs w:val="22"/>
          <w:highlight w:val="none"/>
          <w:u w:val="single"/>
        </w:rPr>
        <w:t>（项目名称、项目编号）</w:t>
      </w:r>
      <w:r>
        <w:rPr>
          <w:rFonts w:hint="eastAsia" w:ascii="宋体" w:hAnsi="宋体" w:eastAsia="宋体" w:cs="宋体"/>
          <w:color w:val="auto"/>
          <w:sz w:val="22"/>
          <w:szCs w:val="22"/>
          <w:highlight w:val="none"/>
        </w:rPr>
        <w:t>的采购活动，全权代表我方处理采购活动中的一切事宜。联系方式如下：</w:t>
      </w:r>
      <w:r>
        <w:rPr>
          <w:rFonts w:hint="eastAsia" w:ascii="宋体" w:hAnsi="宋体" w:eastAsia="宋体" w:cs="宋体"/>
          <w:color w:val="auto"/>
          <w:sz w:val="22"/>
          <w:szCs w:val="22"/>
          <w:highlight w:val="none"/>
          <w:u w:val="single"/>
        </w:rPr>
        <w:t xml:space="preserve">手机号码：       联系邮箱：         详细通讯地址：             </w:t>
      </w:r>
      <w:r>
        <w:rPr>
          <w:rFonts w:hint="eastAsia" w:ascii="宋体" w:hAnsi="宋体" w:eastAsia="宋体" w:cs="宋体"/>
          <w:color w:val="auto"/>
          <w:sz w:val="22"/>
          <w:szCs w:val="22"/>
          <w:highlight w:val="none"/>
        </w:rPr>
        <w:t xml:space="preserve"> 。  </w:t>
      </w:r>
    </w:p>
    <w:p w14:paraId="41EBA9F5">
      <w:pPr>
        <w:shd w:val="clear"/>
        <w:spacing w:line="460" w:lineRule="exact"/>
        <w:ind w:firstLine="220" w:firstLineChars="100"/>
        <w:rPr>
          <w:rFonts w:hint="eastAsia" w:ascii="宋体" w:hAnsi="宋体" w:eastAsia="宋体" w:cs="宋体"/>
          <w:color w:val="auto"/>
          <w:sz w:val="22"/>
          <w:szCs w:val="22"/>
          <w:highlight w:val="none"/>
        </w:rPr>
      </w:pPr>
    </w:p>
    <w:p w14:paraId="08E40296">
      <w:pPr>
        <w:shd w:val="clear"/>
        <w:spacing w:line="460" w:lineRule="exact"/>
        <w:ind w:firstLine="550" w:firstLineChars="250"/>
        <w:rPr>
          <w:rFonts w:hint="eastAsia" w:ascii="宋体" w:hAnsi="宋体" w:eastAsia="宋体" w:cs="宋体"/>
          <w:color w:val="auto"/>
          <w:sz w:val="22"/>
          <w:szCs w:val="22"/>
          <w:highlight w:val="none"/>
        </w:rPr>
      </w:pPr>
    </w:p>
    <w:p w14:paraId="2E43DB28">
      <w:pPr>
        <w:shd w:val="clear"/>
        <w:spacing w:line="460" w:lineRule="exact"/>
        <w:ind w:firstLine="2955"/>
        <w:rPr>
          <w:rFonts w:hint="eastAsia" w:ascii="宋体" w:hAnsi="宋体" w:eastAsia="宋体" w:cs="宋体"/>
          <w:color w:val="auto"/>
          <w:sz w:val="22"/>
          <w:szCs w:val="22"/>
          <w:highlight w:val="none"/>
        </w:rPr>
      </w:pPr>
    </w:p>
    <w:p w14:paraId="7C3B5CE1">
      <w:pPr>
        <w:shd w:val="clear"/>
        <w:spacing w:line="460" w:lineRule="exact"/>
        <w:ind w:firstLine="2955"/>
        <w:rPr>
          <w:rFonts w:hint="eastAsia" w:ascii="宋体" w:hAnsi="宋体" w:eastAsia="宋体" w:cs="宋体"/>
          <w:color w:val="auto"/>
          <w:sz w:val="22"/>
          <w:szCs w:val="22"/>
          <w:highlight w:val="none"/>
        </w:rPr>
      </w:pPr>
    </w:p>
    <w:p w14:paraId="0C670B4B">
      <w:pPr>
        <w:shd w:val="clear"/>
        <w:spacing w:line="460" w:lineRule="exact"/>
        <w:ind w:firstLine="3968" w:firstLineChars="180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6828F0C5">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投标人名称（盖章）：</w:t>
      </w:r>
    </w:p>
    <w:p w14:paraId="05A99C12">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56D52499">
      <w:pPr>
        <w:shd w:val="clear"/>
        <w:spacing w:line="460" w:lineRule="exact"/>
        <w:rPr>
          <w:rFonts w:hint="eastAsia" w:ascii="宋体" w:hAnsi="宋体" w:eastAsia="宋体" w:cs="宋体"/>
          <w:color w:val="auto"/>
          <w:sz w:val="22"/>
          <w:szCs w:val="22"/>
          <w:highlight w:val="none"/>
        </w:rPr>
      </w:pPr>
    </w:p>
    <w:p w14:paraId="49E9D50D">
      <w:pPr>
        <w:shd w:val="clear"/>
        <w:spacing w:line="460" w:lineRule="exact"/>
        <w:rPr>
          <w:rFonts w:hint="eastAsia" w:ascii="宋体" w:hAnsi="宋体" w:eastAsia="宋体" w:cs="宋体"/>
          <w:color w:val="auto"/>
          <w:sz w:val="22"/>
          <w:szCs w:val="22"/>
          <w:highlight w:val="none"/>
        </w:rPr>
      </w:pPr>
    </w:p>
    <w:p w14:paraId="2A9F3AE7">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附：法定代表人及授权代表的身份证正反面复印件</w:t>
      </w:r>
    </w:p>
    <w:p w14:paraId="39A367F7">
      <w:pPr>
        <w:shd w:val="clear"/>
        <w:jc w:val="left"/>
        <w:rPr>
          <w:rFonts w:hint="eastAsia" w:ascii="宋体" w:hAnsi="宋体" w:eastAsia="宋体" w:cs="宋体"/>
          <w:b/>
          <w:bCs/>
          <w:color w:val="auto"/>
          <w:sz w:val="22"/>
          <w:szCs w:val="22"/>
          <w:highlight w:val="none"/>
        </w:rPr>
      </w:pPr>
    </w:p>
    <w:p w14:paraId="4CD84379">
      <w:pPr>
        <w:shd w:val="clear"/>
        <w:jc w:val="left"/>
        <w:rPr>
          <w:rFonts w:hint="eastAsia" w:ascii="宋体" w:hAnsi="宋体" w:eastAsia="宋体" w:cs="宋体"/>
          <w:b/>
          <w:bCs/>
          <w:color w:val="auto"/>
          <w:sz w:val="22"/>
          <w:szCs w:val="22"/>
          <w:highlight w:val="none"/>
        </w:rPr>
      </w:pPr>
    </w:p>
    <w:p w14:paraId="1FA16382">
      <w:pPr>
        <w:shd w:val="clear"/>
        <w:jc w:val="left"/>
        <w:rPr>
          <w:rFonts w:hint="eastAsia" w:ascii="宋体" w:hAnsi="宋体" w:eastAsia="宋体" w:cs="宋体"/>
          <w:b/>
          <w:bCs/>
          <w:color w:val="auto"/>
          <w:sz w:val="22"/>
          <w:szCs w:val="22"/>
          <w:highlight w:val="none"/>
        </w:rPr>
      </w:pPr>
    </w:p>
    <w:p w14:paraId="0D7330F2">
      <w:pPr>
        <w:shd w:val="clear"/>
        <w:jc w:val="left"/>
        <w:rPr>
          <w:rFonts w:hint="eastAsia" w:ascii="宋体" w:hAnsi="宋体" w:eastAsia="宋体" w:cs="宋体"/>
          <w:b/>
          <w:bCs/>
          <w:color w:val="auto"/>
          <w:sz w:val="22"/>
          <w:szCs w:val="22"/>
          <w:highlight w:val="none"/>
        </w:rPr>
      </w:pPr>
    </w:p>
    <w:p w14:paraId="172968AB">
      <w:pPr>
        <w:shd w:val="clear"/>
        <w:jc w:val="left"/>
        <w:rPr>
          <w:rFonts w:hint="eastAsia" w:ascii="宋体" w:hAnsi="宋体" w:eastAsia="宋体" w:cs="宋体"/>
          <w:b/>
          <w:bCs/>
          <w:color w:val="auto"/>
          <w:sz w:val="22"/>
          <w:szCs w:val="22"/>
          <w:highlight w:val="none"/>
        </w:rPr>
      </w:pPr>
    </w:p>
    <w:p w14:paraId="2AA116CE">
      <w:pPr>
        <w:shd w:val="clear"/>
        <w:jc w:val="left"/>
        <w:rPr>
          <w:rFonts w:hint="eastAsia" w:ascii="宋体" w:hAnsi="宋体" w:eastAsia="宋体" w:cs="宋体"/>
          <w:b/>
          <w:bCs/>
          <w:color w:val="auto"/>
          <w:sz w:val="22"/>
          <w:szCs w:val="22"/>
          <w:highlight w:val="none"/>
        </w:rPr>
      </w:pPr>
    </w:p>
    <w:p w14:paraId="00F49689">
      <w:pPr>
        <w:shd w:val="clear"/>
        <w:jc w:val="left"/>
        <w:rPr>
          <w:rFonts w:hint="eastAsia" w:ascii="宋体" w:hAnsi="宋体" w:eastAsia="宋体" w:cs="宋体"/>
          <w:b/>
          <w:bCs/>
          <w:color w:val="auto"/>
          <w:sz w:val="22"/>
          <w:szCs w:val="22"/>
          <w:highlight w:val="none"/>
        </w:rPr>
      </w:pPr>
    </w:p>
    <w:p w14:paraId="423FB400">
      <w:pPr>
        <w:shd w:val="clear"/>
        <w:jc w:val="left"/>
        <w:rPr>
          <w:rFonts w:hint="eastAsia" w:ascii="宋体" w:hAnsi="宋体" w:eastAsia="宋体" w:cs="宋体"/>
          <w:b/>
          <w:bCs/>
          <w:color w:val="auto"/>
          <w:sz w:val="22"/>
          <w:szCs w:val="22"/>
          <w:highlight w:val="none"/>
        </w:rPr>
      </w:pPr>
    </w:p>
    <w:p w14:paraId="20E9409D">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2F609975">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1、若投标人代表为法定代表人，应提供声明书（1）-1并提交法定代表人身份证正反面复印件；</w:t>
      </w:r>
    </w:p>
    <w:p w14:paraId="27EBEFDA">
      <w:pPr>
        <w:shd w:val="clea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2、若投标人代表为法定代表人授权的委托代理人，应提供授权书（1）-2，并附法定代表人及授权代表的身份证正反面复印件。</w:t>
      </w:r>
    </w:p>
    <w:p w14:paraId="215D4993">
      <w:pPr>
        <w:pStyle w:val="11"/>
        <w:shd w:val="clear"/>
        <w:rPr>
          <w:rFonts w:hint="eastAsia" w:ascii="宋体" w:hAnsi="宋体" w:eastAsia="宋体" w:cs="宋体"/>
          <w:color w:val="auto"/>
          <w:highlight w:val="none"/>
        </w:rPr>
      </w:pPr>
    </w:p>
    <w:p w14:paraId="12DC5BE8">
      <w:pPr>
        <w:pStyle w:val="31"/>
        <w:shd w:val="clear"/>
        <w:ind w:firstLine="210"/>
        <w:rPr>
          <w:rFonts w:hint="eastAsia" w:ascii="宋体" w:hAnsi="宋体" w:eastAsia="宋体" w:cs="宋体"/>
          <w:color w:val="auto"/>
          <w:highlight w:val="none"/>
        </w:rPr>
      </w:pPr>
    </w:p>
    <w:p w14:paraId="2ABE7C0B">
      <w:pPr>
        <w:pStyle w:val="25"/>
        <w:shd w:val="clear"/>
        <w:rPr>
          <w:rFonts w:hint="eastAsia" w:ascii="宋体" w:hAnsi="宋体" w:eastAsia="宋体" w:cs="宋体"/>
          <w:color w:val="auto"/>
          <w:highlight w:val="none"/>
        </w:rPr>
      </w:pPr>
    </w:p>
    <w:p w14:paraId="68A984A4">
      <w:pPr>
        <w:shd w:val="clear"/>
        <w:rPr>
          <w:rFonts w:hint="eastAsia" w:ascii="宋体" w:hAnsi="宋体" w:eastAsia="宋体" w:cs="宋体"/>
          <w:color w:val="auto"/>
          <w:highlight w:val="none"/>
        </w:rPr>
      </w:pPr>
    </w:p>
    <w:p w14:paraId="4A526ED4">
      <w:pPr>
        <w:pStyle w:val="11"/>
        <w:shd w:val="clear"/>
        <w:rPr>
          <w:rFonts w:hint="eastAsia" w:ascii="宋体" w:hAnsi="宋体" w:eastAsia="宋体" w:cs="宋体"/>
          <w:color w:val="auto"/>
          <w:highlight w:val="none"/>
        </w:rPr>
      </w:pPr>
    </w:p>
    <w:p w14:paraId="5772A064">
      <w:pPr>
        <w:shd w:val="clear"/>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（2）</w:t>
      </w:r>
      <w:r>
        <w:rPr>
          <w:rFonts w:hint="eastAsia" w:ascii="宋体" w:hAnsi="宋体" w:eastAsia="宋体" w:cs="宋体"/>
          <w:b/>
          <w:bCs/>
          <w:color w:val="auto"/>
          <w:sz w:val="22"/>
          <w:szCs w:val="22"/>
          <w:highlight w:val="none"/>
        </w:rPr>
        <w:t>营业执照（或事业法人登记证书或其他工商等登记证明材料）</w:t>
      </w:r>
    </w:p>
    <w:p w14:paraId="63801350">
      <w:pPr>
        <w:pStyle w:val="31"/>
        <w:shd w:val="clear"/>
        <w:ind w:firstLine="220"/>
        <w:rPr>
          <w:rFonts w:hint="eastAsia" w:ascii="宋体" w:hAnsi="宋体" w:eastAsia="宋体" w:cs="宋体"/>
          <w:color w:val="auto"/>
          <w:sz w:val="22"/>
          <w:szCs w:val="22"/>
          <w:highlight w:val="none"/>
        </w:rPr>
      </w:pPr>
    </w:p>
    <w:p w14:paraId="4371CEFC">
      <w:pPr>
        <w:shd w:val="clea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001E7B1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的规定，提供有效的相应具体证照复印件。</w:t>
      </w:r>
    </w:p>
    <w:p w14:paraId="2C658151">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2、投标人提供的相应证明材料复印件均应符合：内容完整、清晰、整洁，并由投标人加盖其单位公章。</w:t>
      </w:r>
    </w:p>
    <w:p w14:paraId="4D1ED758">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333827CE">
      <w:pPr>
        <w:pStyle w:val="31"/>
        <w:shd w:val="clear"/>
        <w:ind w:firstLine="0" w:firstLineChars="0"/>
        <w:rPr>
          <w:rFonts w:hint="eastAsia" w:ascii="宋体" w:hAnsi="宋体" w:eastAsia="宋体" w:cs="宋体"/>
          <w:color w:val="auto"/>
          <w:sz w:val="22"/>
          <w:szCs w:val="22"/>
          <w:highlight w:val="none"/>
        </w:rPr>
      </w:pPr>
    </w:p>
    <w:p w14:paraId="0C5BE5B4">
      <w:pPr>
        <w:shd w:val="clear"/>
        <w:spacing w:line="380" w:lineRule="exact"/>
        <w:rPr>
          <w:rFonts w:hint="eastAsia" w:ascii="宋体" w:hAnsi="宋体" w:eastAsia="宋体" w:cs="宋体"/>
          <w:b/>
          <w:bCs/>
          <w:color w:val="auto"/>
          <w:sz w:val="22"/>
          <w:szCs w:val="22"/>
          <w:highlight w:val="none"/>
        </w:rPr>
      </w:pPr>
    </w:p>
    <w:p w14:paraId="3C87D207">
      <w:pPr>
        <w:pStyle w:val="31"/>
        <w:shd w:val="clear"/>
        <w:ind w:firstLine="220"/>
        <w:rPr>
          <w:rFonts w:hint="eastAsia" w:ascii="宋体" w:hAnsi="宋体" w:eastAsia="宋体" w:cs="宋体"/>
          <w:color w:val="auto"/>
          <w:sz w:val="22"/>
          <w:szCs w:val="22"/>
          <w:highlight w:val="none"/>
        </w:rPr>
      </w:pPr>
    </w:p>
    <w:p w14:paraId="419133C1">
      <w:pPr>
        <w:pStyle w:val="31"/>
        <w:shd w:val="clear"/>
        <w:ind w:firstLine="220"/>
        <w:rPr>
          <w:rFonts w:hint="eastAsia" w:ascii="宋体" w:hAnsi="宋体" w:eastAsia="宋体" w:cs="宋体"/>
          <w:color w:val="auto"/>
          <w:sz w:val="22"/>
          <w:szCs w:val="22"/>
          <w:highlight w:val="none"/>
        </w:rPr>
      </w:pPr>
    </w:p>
    <w:p w14:paraId="7A7B4B73">
      <w:pPr>
        <w:pStyle w:val="31"/>
        <w:shd w:val="clear"/>
        <w:ind w:firstLine="220"/>
        <w:rPr>
          <w:rFonts w:hint="eastAsia" w:ascii="宋体" w:hAnsi="宋体" w:eastAsia="宋体" w:cs="宋体"/>
          <w:color w:val="auto"/>
          <w:sz w:val="22"/>
          <w:szCs w:val="22"/>
          <w:highlight w:val="none"/>
        </w:rPr>
      </w:pPr>
    </w:p>
    <w:p w14:paraId="670A80E6">
      <w:pPr>
        <w:shd w:val="clear"/>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（3）具有良好的商业信誉和健全的财务会计制度的承诺函</w:t>
      </w:r>
    </w:p>
    <w:p w14:paraId="18FFD6A4">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29DA1850">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2EE37A86">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承诺具有良好的商业信誉和健全的财务会计制度。如有虚假，采购人可取消我方任何资格（投标/中标/签订合同），我方对此无任何异议。</w:t>
      </w:r>
    </w:p>
    <w:p w14:paraId="67E028C4">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1D88C8FD">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239346F6">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641615EB">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3E53CE4F">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301E82CB">
      <w:pPr>
        <w:shd w:val="clear"/>
        <w:spacing w:line="380" w:lineRule="exact"/>
        <w:rPr>
          <w:rFonts w:hint="eastAsia" w:ascii="宋体" w:hAnsi="宋体" w:eastAsia="宋体" w:cs="宋体"/>
          <w:b/>
          <w:color w:val="auto"/>
          <w:sz w:val="22"/>
          <w:szCs w:val="22"/>
          <w:highlight w:val="none"/>
        </w:rPr>
      </w:pPr>
    </w:p>
    <w:p w14:paraId="1D8C7446">
      <w:pPr>
        <w:shd w:val="clear"/>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（4） 具有履行合同所必需的设备和专业技术、售后保障等能力的承诺函</w:t>
      </w:r>
    </w:p>
    <w:p w14:paraId="305562B2">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56B80228">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6C379AE9">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承诺具有履行合同所必需的设备和专业技术、售后保障等能力。如有虚假，采购人可取消我方任何资格（投标/中标/签订合同），我方对此无任何异议。</w:t>
      </w:r>
    </w:p>
    <w:p w14:paraId="2C3EC97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7FC2C3FF">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6DE60692">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2C96EF53">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3568065D">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72C8F500">
      <w:pPr>
        <w:shd w:val="clear"/>
        <w:overflowPunct w:val="0"/>
        <w:spacing w:line="440" w:lineRule="exact"/>
        <w:rPr>
          <w:rFonts w:hint="eastAsia" w:ascii="宋体" w:hAnsi="宋体" w:eastAsia="宋体" w:cs="宋体"/>
          <w:b/>
          <w:bCs/>
          <w:color w:val="auto"/>
          <w:sz w:val="22"/>
          <w:szCs w:val="22"/>
          <w:highlight w:val="none"/>
        </w:rPr>
      </w:pPr>
    </w:p>
    <w:p w14:paraId="226BEB53">
      <w:pPr>
        <w:pStyle w:val="31"/>
        <w:shd w:val="clear"/>
        <w:ind w:firstLine="220"/>
        <w:rPr>
          <w:rFonts w:hint="eastAsia" w:ascii="宋体" w:hAnsi="宋体" w:eastAsia="宋体" w:cs="宋体"/>
          <w:color w:val="auto"/>
          <w:sz w:val="22"/>
          <w:szCs w:val="22"/>
          <w:highlight w:val="none"/>
        </w:rPr>
      </w:pPr>
    </w:p>
    <w:p w14:paraId="212F9F67">
      <w:pPr>
        <w:pStyle w:val="31"/>
        <w:shd w:val="clear"/>
        <w:ind w:firstLine="220"/>
        <w:rPr>
          <w:rFonts w:hint="eastAsia" w:ascii="宋体" w:hAnsi="宋体" w:eastAsia="宋体" w:cs="宋体"/>
          <w:color w:val="auto"/>
          <w:sz w:val="22"/>
          <w:szCs w:val="22"/>
          <w:highlight w:val="none"/>
        </w:rPr>
      </w:pPr>
    </w:p>
    <w:p w14:paraId="3B02FA80">
      <w:pPr>
        <w:shd w:val="clear"/>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 具有依法缴纳税收和社会保障资金的良好记录的承诺函</w:t>
      </w:r>
    </w:p>
    <w:p w14:paraId="7C50D04C">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4353DE9B">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038FC8D6">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承诺具有依法缴纳税收和社会保障资金的良好记录。如有虚假，采购人可取消我方任何资格（投标/中标/签订合同），我方对此无任何异议。</w:t>
      </w:r>
    </w:p>
    <w:p w14:paraId="3E187C2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4C5ED548">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6D28F615">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5775760B">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503E6BEC">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05BF141B">
      <w:pPr>
        <w:pStyle w:val="31"/>
        <w:shd w:val="clear"/>
        <w:ind w:firstLine="224"/>
        <w:jc w:val="center"/>
        <w:rPr>
          <w:rFonts w:hint="eastAsia" w:ascii="宋体" w:hAnsi="宋体" w:eastAsia="宋体" w:cs="宋体"/>
          <w:b/>
          <w:bCs/>
          <w:color w:val="auto"/>
          <w:sz w:val="22"/>
          <w:szCs w:val="22"/>
          <w:highlight w:val="none"/>
        </w:rPr>
      </w:pPr>
    </w:p>
    <w:p w14:paraId="0E72FB58">
      <w:pPr>
        <w:shd w:val="clear"/>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（6）参加采购、招投标等活动前三年内（新成立不满三年的组织机构自成立之日起算）在经营活动中没有重大违法记录、严重失信行为和行贿记录的声明函</w:t>
      </w:r>
    </w:p>
    <w:p w14:paraId="6C2126E6">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4EDE2DC8">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3C8F1E9C">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严重失信行为和行贿记录。如有虚假，采购人可取消我方任何资格（投标/中标/签订合同），我方对此无任何异议。</w:t>
      </w:r>
    </w:p>
    <w:p w14:paraId="59960F0D">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特此声明！</w:t>
      </w:r>
    </w:p>
    <w:p w14:paraId="6CCC5164">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755B6A34">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4F0636EA">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3C7589BF">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04323CF5">
      <w:pPr>
        <w:pStyle w:val="15"/>
        <w:widowControl w:val="0"/>
        <w:shd w:val="clear"/>
        <w:snapToGrid w:val="0"/>
        <w:spacing w:line="460" w:lineRule="atLeast"/>
        <w:ind w:left="720" w:hanging="720"/>
        <w:jc w:val="center"/>
        <w:rPr>
          <w:rFonts w:hint="eastAsia" w:ascii="宋体" w:hAnsi="宋体" w:eastAsia="宋体" w:cs="宋体"/>
          <w:b/>
          <w:color w:val="auto"/>
          <w:sz w:val="22"/>
          <w:szCs w:val="22"/>
          <w:highlight w:val="none"/>
        </w:rPr>
      </w:pPr>
    </w:p>
    <w:p w14:paraId="16592AF2">
      <w:pPr>
        <w:pStyle w:val="15"/>
        <w:widowControl w:val="0"/>
        <w:shd w:val="clear"/>
        <w:snapToGrid w:val="0"/>
        <w:spacing w:line="460" w:lineRule="atLeast"/>
        <w:ind w:left="720" w:hanging="720"/>
        <w:jc w:val="center"/>
        <w:rPr>
          <w:rFonts w:hint="eastAsia" w:ascii="宋体" w:hAnsi="宋体" w:eastAsia="宋体" w:cs="宋体"/>
          <w:b/>
          <w:color w:val="auto"/>
          <w:sz w:val="22"/>
          <w:szCs w:val="22"/>
          <w:highlight w:val="none"/>
        </w:rPr>
      </w:pPr>
    </w:p>
    <w:p w14:paraId="75D13245">
      <w:pPr>
        <w:pStyle w:val="15"/>
        <w:widowControl w:val="0"/>
        <w:shd w:val="clear"/>
        <w:snapToGrid w:val="0"/>
        <w:spacing w:line="460" w:lineRule="atLeast"/>
        <w:ind w:left="720" w:hanging="72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r>
        <w:rPr>
          <w:rFonts w:hint="eastAsia" w:ascii="宋体" w:hAnsi="宋体" w:eastAsia="宋体" w:cs="宋体"/>
          <w:b/>
          <w:bCs/>
          <w:color w:val="auto"/>
          <w:sz w:val="22"/>
          <w:szCs w:val="22"/>
          <w:highlight w:val="none"/>
        </w:rPr>
        <w:t>声明书（单位负责人为同一人或者存在直接控股、管理关系的不同投标人，不得参加同一合同项下的采购活动）</w:t>
      </w:r>
    </w:p>
    <w:p w14:paraId="75826F48">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27F424DA">
      <w:pPr>
        <w:shd w:val="clear"/>
        <w:spacing w:line="44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5C36973C">
      <w:pPr>
        <w:shd w:val="clea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sz w:val="22"/>
          <w:szCs w:val="22"/>
          <w:highlight w:val="none"/>
        </w:rPr>
        <w:t>声明本项目投标时若发生我单位和其他投标人的单位负责人为同一人或者存在直接控股、管理关系的不同单位同时参与投标的，将自动放弃投标或中标资格。</w:t>
      </w:r>
    </w:p>
    <w:p w14:paraId="3554C30C">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特此声明！</w:t>
      </w:r>
    </w:p>
    <w:p w14:paraId="0FCB6C9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0A10BBEA">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3F05AD3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57D1F895">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2D3A466B">
      <w:pPr>
        <w:pStyle w:val="31"/>
        <w:shd w:val="clear"/>
        <w:ind w:firstLine="210"/>
        <w:rPr>
          <w:rFonts w:hint="eastAsia" w:ascii="宋体" w:hAnsi="宋体" w:eastAsia="宋体" w:cs="宋体"/>
          <w:color w:val="auto"/>
          <w:highlight w:val="none"/>
        </w:rPr>
      </w:pPr>
    </w:p>
    <w:p w14:paraId="2FAC4BFE">
      <w:pPr>
        <w:pStyle w:val="31"/>
        <w:shd w:val="clear"/>
        <w:spacing w:line="360" w:lineRule="exact"/>
        <w:ind w:firstLine="0" w:firstLineChars="0"/>
        <w:rPr>
          <w:rFonts w:hint="eastAsia" w:ascii="宋体" w:hAnsi="宋体" w:eastAsia="宋体" w:cs="宋体"/>
          <w:b/>
          <w:color w:val="auto"/>
          <w:sz w:val="22"/>
          <w:szCs w:val="22"/>
          <w:highlight w:val="none"/>
        </w:rPr>
      </w:pPr>
    </w:p>
    <w:p w14:paraId="7FEC0FEF">
      <w:pPr>
        <w:pStyle w:val="31"/>
        <w:shd w:val="clear"/>
        <w:spacing w:line="360" w:lineRule="exact"/>
        <w:ind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br w:type="page"/>
      </w:r>
      <w:r>
        <w:rPr>
          <w:rFonts w:hint="eastAsia" w:ascii="宋体" w:hAnsi="宋体" w:eastAsia="宋体" w:cs="宋体"/>
          <w:b/>
          <w:bCs/>
          <w:color w:val="auto"/>
          <w:sz w:val="22"/>
          <w:szCs w:val="22"/>
          <w:highlight w:val="none"/>
        </w:rPr>
        <w:t xml:space="preserve">附件二 </w:t>
      </w:r>
    </w:p>
    <w:p w14:paraId="1E2C3AAA">
      <w:pPr>
        <w:shd w:val="clear"/>
        <w:spacing w:line="3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21D34262">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40A66D0A">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4BB1DE64">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根据贵单位为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（授权代表全名，职务）代表我方处理有关本次投标的一切事宜。</w:t>
      </w:r>
    </w:p>
    <w:p w14:paraId="01AD804B">
      <w:pPr>
        <w:pStyle w:val="8"/>
        <w:shd w:val="clear"/>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在此提交的投标文件中，包括如下内容：</w:t>
      </w:r>
    </w:p>
    <w:p w14:paraId="781F682D">
      <w:pPr>
        <w:shd w:val="clear"/>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1、按“投标人须知”要求编制的投标文件技术资信文件【正本一份，副本五份】；</w:t>
      </w:r>
    </w:p>
    <w:p w14:paraId="67EC899F">
      <w:pPr>
        <w:shd w:val="clear"/>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2、按“投标人须知”要求编制的投标文件报价文件【正本一份，副本五份】；</w:t>
      </w:r>
    </w:p>
    <w:p w14:paraId="78689284">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我方已完全明白采购文件的所有条款要求，并重申以下几点：</w:t>
      </w:r>
    </w:p>
    <w:p w14:paraId="5EC9D886">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（一）本投标文件的有效期自投标截止日起</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u w:val="single"/>
        </w:rPr>
        <w:t>90</w:t>
      </w:r>
      <w:r>
        <w:rPr>
          <w:rFonts w:hint="eastAsia" w:ascii="宋体" w:hAnsi="宋体" w:eastAsia="宋体" w:cs="宋体"/>
          <w:b/>
          <w:color w:val="auto"/>
          <w:sz w:val="22"/>
          <w:szCs w:val="22"/>
          <w:highlight w:val="none"/>
        </w:rPr>
        <w:t>天内</w:t>
      </w:r>
      <w:r>
        <w:rPr>
          <w:rFonts w:hint="eastAsia" w:ascii="宋体" w:hAnsi="宋体" w:eastAsia="宋体" w:cs="宋体"/>
          <w:color w:val="auto"/>
          <w:sz w:val="22"/>
          <w:szCs w:val="22"/>
          <w:highlight w:val="none"/>
        </w:rPr>
        <w:t>有效，如中标，有效期将延至合同终止日为止；</w:t>
      </w:r>
    </w:p>
    <w:p w14:paraId="00846F37">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（二）我方已详细研究了采购文件的所有内容包括修改书（如有）和所有已提供的参考资料以及有关附件，我方完全理解并同意放弃在此方面提出含糊意见或误解的一切权力；</w:t>
      </w:r>
    </w:p>
    <w:p w14:paraId="73AB3EFC">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（三）我方明白并愿意在规定的开标时间之后，投标人在投标有效期内撤回投标，其投标保证金将被贵方没收；</w:t>
      </w:r>
    </w:p>
    <w:p w14:paraId="0B9C379F">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（四）我方同意提供按照贵方可能要求的与投标有关的一切数据或资料；</w:t>
      </w:r>
    </w:p>
    <w:p w14:paraId="030E8730">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（五）我方理解贵方不一定接受最低报价。</w:t>
      </w:r>
    </w:p>
    <w:p w14:paraId="5F64E74B">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（六）我方如果中标，将保证履行采购文件以及采购文件修改书（如有）中的全部责任和义务，按质、按量、按期完成《协议书》中的全部任务。</w:t>
      </w:r>
    </w:p>
    <w:p w14:paraId="3D0A248E">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（七）所有与本次投标有关的函件请发往下列地址：</w:t>
      </w:r>
    </w:p>
    <w:p w14:paraId="4929332D">
      <w:pPr>
        <w:shd w:val="clear"/>
        <w:spacing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p>
    <w:p w14:paraId="4C9D2C26">
      <w:pPr>
        <w:shd w:val="clear"/>
        <w:spacing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p>
    <w:p w14:paraId="44B38FBC">
      <w:pPr>
        <w:shd w:val="clear"/>
        <w:spacing w:line="3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w:t>
      </w:r>
      <w:r>
        <w:rPr>
          <w:rFonts w:hint="eastAsia" w:ascii="宋体" w:hAnsi="宋体" w:eastAsia="宋体" w:cs="宋体"/>
          <w:color w:val="auto"/>
          <w:sz w:val="22"/>
          <w:szCs w:val="22"/>
          <w:highlight w:val="none"/>
          <w:u w:val="single"/>
        </w:rPr>
        <w:t xml:space="preserve">                           </w:t>
      </w:r>
    </w:p>
    <w:p w14:paraId="379E08A6">
      <w:pPr>
        <w:shd w:val="clear"/>
        <w:spacing w:line="3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44BE8A9E">
      <w:pPr>
        <w:shd w:val="clear"/>
        <w:spacing w:line="360" w:lineRule="exact"/>
        <w:ind w:firstLine="435"/>
        <w:rPr>
          <w:rFonts w:hint="eastAsia" w:ascii="宋体" w:hAnsi="宋体" w:eastAsia="宋体" w:cs="宋体"/>
          <w:color w:val="auto"/>
          <w:sz w:val="22"/>
          <w:szCs w:val="22"/>
          <w:highlight w:val="none"/>
        </w:rPr>
      </w:pPr>
    </w:p>
    <w:p w14:paraId="5CD89FB8">
      <w:pPr>
        <w:shd w:val="clear"/>
        <w:spacing w:line="360" w:lineRule="exact"/>
        <w:ind w:firstLine="4400" w:firstLineChars="2000"/>
        <w:rPr>
          <w:rFonts w:hint="eastAsia" w:ascii="宋体" w:hAnsi="宋体" w:eastAsia="宋体" w:cs="宋体"/>
          <w:color w:val="auto"/>
          <w:sz w:val="22"/>
          <w:szCs w:val="22"/>
          <w:highlight w:val="none"/>
        </w:rPr>
      </w:pPr>
    </w:p>
    <w:p w14:paraId="7D744B41">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7177EEA7">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10B680B">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DA32CB6">
      <w:pPr>
        <w:shd w:val="clear"/>
        <w:spacing w:line="360" w:lineRule="exact"/>
        <w:jc w:val="center"/>
        <w:rPr>
          <w:rFonts w:hint="eastAsia" w:ascii="宋体" w:hAnsi="宋体" w:eastAsia="宋体" w:cs="宋体"/>
          <w:color w:val="auto"/>
          <w:sz w:val="22"/>
          <w:szCs w:val="22"/>
          <w:highlight w:val="none"/>
        </w:rPr>
      </w:pPr>
    </w:p>
    <w:p w14:paraId="07F71D3C">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附件三</w:t>
      </w:r>
    </w:p>
    <w:p w14:paraId="2E29357B">
      <w:pPr>
        <w:shd w:val="clea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（1）开标一览表</w:t>
      </w:r>
    </w:p>
    <w:p w14:paraId="7DF56960">
      <w:pPr>
        <w:pStyle w:val="8"/>
        <w:shd w:val="clear"/>
        <w:spacing w:line="360" w:lineRule="exact"/>
        <w:ind w:firstLine="316" w:firstLineChars="1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项目名称：                               项目编号：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79ACDF6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vAlign w:val="center"/>
          </w:tcPr>
          <w:p w14:paraId="4AD882D5">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396" w:type="pct"/>
            <w:tcBorders>
              <w:left w:val="single" w:color="auto" w:sz="4" w:space="0"/>
              <w:right w:val="single" w:color="auto" w:sz="4" w:space="0"/>
            </w:tcBorders>
            <w:vAlign w:val="center"/>
          </w:tcPr>
          <w:p w14:paraId="6F200210">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投标报价</w:t>
            </w:r>
          </w:p>
        </w:tc>
        <w:tc>
          <w:tcPr>
            <w:tcW w:w="1760" w:type="pct"/>
            <w:tcBorders>
              <w:left w:val="single" w:color="auto" w:sz="4" w:space="0"/>
            </w:tcBorders>
            <w:vAlign w:val="center"/>
          </w:tcPr>
          <w:p w14:paraId="39FC141A">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p>
        </w:tc>
        <w:tc>
          <w:tcPr>
            <w:tcW w:w="912" w:type="pct"/>
            <w:tcBorders>
              <w:left w:val="single" w:color="auto" w:sz="4" w:space="0"/>
            </w:tcBorders>
            <w:vAlign w:val="center"/>
          </w:tcPr>
          <w:p w14:paraId="169BFFB1">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w:t>
            </w:r>
          </w:p>
        </w:tc>
      </w:tr>
      <w:tr w14:paraId="263CCB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vAlign w:val="center"/>
          </w:tcPr>
          <w:p w14:paraId="78032B6F">
            <w:pPr>
              <w:shd w:val="clear"/>
              <w:autoSpaceDE w:val="0"/>
              <w:autoSpaceDN w:val="0"/>
              <w:adjustRightInd w:val="0"/>
              <w:snapToGrid w:val="0"/>
              <w:spacing w:before="120" w:line="360" w:lineRule="exact"/>
              <w:jc w:val="center"/>
              <w:textAlignment w:val="bottom"/>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监控存储</w:t>
            </w:r>
          </w:p>
        </w:tc>
        <w:tc>
          <w:tcPr>
            <w:tcW w:w="1396" w:type="pct"/>
            <w:tcBorders>
              <w:left w:val="single" w:color="auto" w:sz="4" w:space="0"/>
              <w:right w:val="single" w:color="auto" w:sz="4" w:space="0"/>
            </w:tcBorders>
            <w:vAlign w:val="center"/>
          </w:tcPr>
          <w:p w14:paraId="2CA64A5F">
            <w:pPr>
              <w:shd w:val="clear"/>
              <w:autoSpaceDE w:val="0"/>
              <w:autoSpaceDN w:val="0"/>
              <w:adjustRightInd w:val="0"/>
              <w:snapToGrid w:val="0"/>
              <w:spacing w:before="120" w:line="36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027FDA89">
            <w:pPr>
              <w:shd w:val="clear"/>
              <w:autoSpaceDE w:val="0"/>
              <w:autoSpaceDN w:val="0"/>
              <w:adjustRightInd w:val="0"/>
              <w:snapToGrid w:val="0"/>
              <w:spacing w:before="120" w:line="36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tc>
        <w:tc>
          <w:tcPr>
            <w:tcW w:w="1760" w:type="pct"/>
            <w:tcBorders>
              <w:left w:val="single" w:color="auto" w:sz="4" w:space="0"/>
            </w:tcBorders>
            <w:vAlign w:val="center"/>
          </w:tcPr>
          <w:p w14:paraId="7DEF59D6">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于2025年11月30日前完成本项目供货、安装并交付使用，具体交付时间及验收时间以采购人要求为准</w:t>
            </w:r>
          </w:p>
        </w:tc>
        <w:tc>
          <w:tcPr>
            <w:tcW w:w="912" w:type="pct"/>
            <w:tcBorders>
              <w:left w:val="single" w:color="auto" w:sz="4" w:space="0"/>
            </w:tcBorders>
            <w:vAlign w:val="center"/>
          </w:tcPr>
          <w:p w14:paraId="62565D0E">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zh-CN"/>
              </w:rPr>
            </w:pPr>
          </w:p>
        </w:tc>
      </w:tr>
    </w:tbl>
    <w:p w14:paraId="055DE99D">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7ED7EFFE">
      <w:pPr>
        <w:shd w:val="clear"/>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u w:val="single"/>
        </w:rPr>
        <w:t>不提供此表格将被视为没有实质性响应采购文件，作无效标处理。</w:t>
      </w:r>
    </w:p>
    <w:p w14:paraId="3D1ED9CF">
      <w:pPr>
        <w:shd w:val="clear"/>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2.</w:t>
      </w:r>
      <w:r>
        <w:rPr>
          <w:rFonts w:hint="eastAsia" w:ascii="宋体" w:hAnsi="宋体" w:eastAsia="宋体" w:cs="宋体"/>
          <w:b/>
          <w:bCs/>
          <w:color w:val="auto"/>
          <w:sz w:val="22"/>
          <w:szCs w:val="22"/>
          <w:highlight w:val="none"/>
          <w:u w:val="single"/>
        </w:rPr>
        <w:t>本项目投标报价是指投标人在正确地完全履行合同义务后采购人应支付给投标人的所有价款，包括但不限于投标人各项成本支出、合理的利润、应交纳的税金及采购代理费用等，完成合同所需的一切本身和不可或缺的所有工作开支、政策性文件规定及合同包含的所有风险、责任等各项全部费用并承担一切风险责任。投标人应根据上述因素自行考虑含入投标总价。投标人须充分考虑本项目的特殊性和不可预见性在内的所有为完成本项目引起的费用等所需的各项应有费用。</w:t>
      </w:r>
    </w:p>
    <w:p w14:paraId="6396C1AC">
      <w:pPr>
        <w:shd w:val="clear"/>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3.《开标一览表》中“投标报价”应与附件三（2）《投标分项报价表》中“投标总价”相一致。</w:t>
      </w:r>
    </w:p>
    <w:p w14:paraId="2990DDC5">
      <w:pPr>
        <w:shd w:val="clear"/>
        <w:tabs>
          <w:tab w:val="left" w:pos="-180"/>
          <w:tab w:val="left" w:pos="180"/>
          <w:tab w:val="left" w:pos="360"/>
        </w:tabs>
        <w:spacing w:line="360" w:lineRule="exact"/>
        <w:ind w:left="426"/>
        <w:rPr>
          <w:rFonts w:hint="eastAsia" w:ascii="宋体" w:hAnsi="宋体" w:eastAsia="宋体" w:cs="宋体"/>
          <w:b/>
          <w:color w:val="auto"/>
          <w:sz w:val="22"/>
          <w:szCs w:val="22"/>
          <w:highlight w:val="none"/>
          <w:u w:val="single"/>
        </w:rPr>
      </w:pPr>
    </w:p>
    <w:p w14:paraId="359892D4">
      <w:pPr>
        <w:shd w:val="clear"/>
        <w:spacing w:line="360" w:lineRule="exact"/>
        <w:ind w:firstLine="4417" w:firstLineChars="2000"/>
        <w:rPr>
          <w:rFonts w:hint="eastAsia" w:ascii="宋体" w:hAnsi="宋体" w:eastAsia="宋体" w:cs="宋体"/>
          <w:b/>
          <w:bCs/>
          <w:color w:val="auto"/>
          <w:sz w:val="22"/>
          <w:szCs w:val="22"/>
          <w:highlight w:val="none"/>
        </w:rPr>
      </w:pPr>
    </w:p>
    <w:p w14:paraId="394594B3">
      <w:pPr>
        <w:shd w:val="clear"/>
        <w:spacing w:line="360" w:lineRule="exact"/>
        <w:ind w:firstLine="4417" w:firstLineChars="2000"/>
        <w:rPr>
          <w:rFonts w:hint="eastAsia" w:ascii="宋体" w:hAnsi="宋体" w:eastAsia="宋体" w:cs="宋体"/>
          <w:b/>
          <w:bCs/>
          <w:color w:val="auto"/>
          <w:sz w:val="22"/>
          <w:szCs w:val="22"/>
          <w:highlight w:val="none"/>
        </w:rPr>
      </w:pPr>
    </w:p>
    <w:p w14:paraId="3D666E05">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1D978B3D">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9C55955">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300F83C">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（2）投标分项报价表</w:t>
      </w:r>
    </w:p>
    <w:tbl>
      <w:tblPr>
        <w:tblStyle w:val="3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09"/>
        <w:gridCol w:w="1672"/>
        <w:gridCol w:w="1076"/>
        <w:gridCol w:w="937"/>
        <w:gridCol w:w="972"/>
        <w:gridCol w:w="1017"/>
        <w:gridCol w:w="994"/>
        <w:gridCol w:w="982"/>
      </w:tblGrid>
      <w:tr w14:paraId="45D2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center"/>
          </w:tcPr>
          <w:p w14:paraId="1CF9770A">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18" w:type="pct"/>
            <w:noWrap w:val="0"/>
            <w:vAlign w:val="center"/>
          </w:tcPr>
          <w:p w14:paraId="6800D586">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货物名称</w:t>
            </w:r>
          </w:p>
        </w:tc>
        <w:tc>
          <w:tcPr>
            <w:tcW w:w="850" w:type="pct"/>
            <w:noWrap w:val="0"/>
            <w:vAlign w:val="center"/>
          </w:tcPr>
          <w:p w14:paraId="6B1237E6">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品牌、型号、技术参数、性能</w:t>
            </w:r>
          </w:p>
        </w:tc>
        <w:tc>
          <w:tcPr>
            <w:tcW w:w="547" w:type="pct"/>
            <w:noWrap w:val="0"/>
            <w:vAlign w:val="center"/>
          </w:tcPr>
          <w:p w14:paraId="2058F7CC">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产地/制造商</w:t>
            </w:r>
          </w:p>
        </w:tc>
        <w:tc>
          <w:tcPr>
            <w:tcW w:w="476" w:type="pct"/>
            <w:noWrap w:val="0"/>
            <w:vAlign w:val="center"/>
          </w:tcPr>
          <w:p w14:paraId="0B2CAC35">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494" w:type="pct"/>
            <w:noWrap w:val="0"/>
            <w:vAlign w:val="center"/>
          </w:tcPr>
          <w:p w14:paraId="0D5F3070">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单价</w:t>
            </w:r>
          </w:p>
          <w:p w14:paraId="21928F8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w:t>
            </w:r>
          </w:p>
        </w:tc>
        <w:tc>
          <w:tcPr>
            <w:tcW w:w="517" w:type="pct"/>
            <w:noWrap w:val="0"/>
            <w:vAlign w:val="center"/>
          </w:tcPr>
          <w:p w14:paraId="411E81AC">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总价</w:t>
            </w:r>
          </w:p>
          <w:p w14:paraId="6590FE4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w:t>
            </w:r>
          </w:p>
        </w:tc>
        <w:tc>
          <w:tcPr>
            <w:tcW w:w="505" w:type="pct"/>
            <w:noWrap w:val="0"/>
            <w:vAlign w:val="center"/>
          </w:tcPr>
          <w:p w14:paraId="0769668B">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质保期</w:t>
            </w:r>
          </w:p>
        </w:tc>
        <w:tc>
          <w:tcPr>
            <w:tcW w:w="497" w:type="pct"/>
            <w:noWrap w:val="0"/>
            <w:vAlign w:val="center"/>
          </w:tcPr>
          <w:p w14:paraId="74CED335">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69A3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1975BB3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25C2E61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7DCF5D7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01F523D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2F928825">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02A6C03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D1DA87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1126E36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E5771C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0094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524DBE7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165C0A77">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17A2B35E">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11E4BA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EBFF6F1">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C04348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22C71B5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3DEC24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52613EC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6B0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5DBC782B">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08EDDAD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00650AE0">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18E87F6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9E89BD0">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23C0D26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27E5A0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147EB8C">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F8DE46A">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422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BC9A75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234FA50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016FAEF9">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63CCBD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77F19DA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54DDDD7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8AA9FB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5F6E35FF">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3C7F9F3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1EB6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A490E0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534D237F">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14641426">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367E2D0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6C83B27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7DDE47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6D72411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2ACA98B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13E0AFB">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1A7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14310AA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59A3D666">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2B725A0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74FA6C1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6686773">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69E97FF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EAED91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7003F7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08D04F4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4BD5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74961F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7CE9431D">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5571755B">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4636AE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1E3BAE08">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485858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78250427">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170242E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AD1FAC7">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0C21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521EDFC5">
            <w:pPr>
              <w:pageBreakBefore w:val="0"/>
              <w:widowControl w:val="0"/>
              <w:shd w:val="clear"/>
              <w:kinsoku/>
              <w:topLinePunct w:val="0"/>
              <w:bidi w:val="0"/>
              <w:ind w:right="-1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货物总价</w:t>
            </w:r>
          </w:p>
        </w:tc>
        <w:tc>
          <w:tcPr>
            <w:tcW w:w="3038" w:type="pct"/>
            <w:gridSpan w:val="6"/>
            <w:noWrap w:val="0"/>
            <w:vAlign w:val="center"/>
          </w:tcPr>
          <w:p w14:paraId="682CDC7F">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97B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07594B0D">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备品备件、耗材、专用工具（如有）</w:t>
            </w:r>
          </w:p>
        </w:tc>
        <w:tc>
          <w:tcPr>
            <w:tcW w:w="3038" w:type="pct"/>
            <w:gridSpan w:val="6"/>
            <w:noWrap w:val="0"/>
            <w:vAlign w:val="center"/>
          </w:tcPr>
          <w:p w14:paraId="09862431">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198A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7450C7B7">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运杂及保险费（含卸货）</w:t>
            </w:r>
          </w:p>
        </w:tc>
        <w:tc>
          <w:tcPr>
            <w:tcW w:w="3038" w:type="pct"/>
            <w:gridSpan w:val="6"/>
            <w:noWrap w:val="0"/>
            <w:vAlign w:val="center"/>
          </w:tcPr>
          <w:p w14:paraId="1BF661D5">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826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5A65F0C3">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安装调试及验收费（包括设备的测试、调试、验收等费用）</w:t>
            </w:r>
          </w:p>
        </w:tc>
        <w:tc>
          <w:tcPr>
            <w:tcW w:w="3038" w:type="pct"/>
            <w:gridSpan w:val="6"/>
            <w:noWrap w:val="0"/>
            <w:vAlign w:val="center"/>
          </w:tcPr>
          <w:p w14:paraId="2492E80D">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0663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44984AB9">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技术培训费、技术服务费、售后服务费等</w:t>
            </w:r>
          </w:p>
        </w:tc>
        <w:tc>
          <w:tcPr>
            <w:tcW w:w="3038" w:type="pct"/>
            <w:gridSpan w:val="6"/>
            <w:noWrap w:val="0"/>
            <w:vAlign w:val="center"/>
          </w:tcPr>
          <w:p w14:paraId="4355D1B7">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78C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357505CF">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其他相关费用</w:t>
            </w:r>
          </w:p>
        </w:tc>
        <w:tc>
          <w:tcPr>
            <w:tcW w:w="3038" w:type="pct"/>
            <w:gridSpan w:val="6"/>
            <w:noWrap w:val="0"/>
            <w:vAlign w:val="center"/>
          </w:tcPr>
          <w:p w14:paraId="0BB47EC8">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815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6B5A3478">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投标总价</w:t>
            </w:r>
          </w:p>
        </w:tc>
        <w:tc>
          <w:tcPr>
            <w:tcW w:w="3038" w:type="pct"/>
            <w:gridSpan w:val="6"/>
            <w:noWrap w:val="0"/>
            <w:vAlign w:val="center"/>
          </w:tcPr>
          <w:p w14:paraId="6CD197FD">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bl>
    <w:p w14:paraId="231A4135">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41445B35">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1、此表内投标总价应与附件三（1）《开标一览表》投标报价相一致。</w:t>
      </w:r>
    </w:p>
    <w:p w14:paraId="766BC8A2">
      <w:pPr>
        <w:shd w:val="clear"/>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u w:val="single"/>
        </w:rPr>
        <w:t>不提供详细“投标分项报价表”的，将视为没有实质性响应招标文件要求。</w:t>
      </w:r>
    </w:p>
    <w:p w14:paraId="1FFCDA87">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3、如果免费请在该备注栏内注明“免”，如果含在产品价格中则填“含”，如无此项内容则填“无”，不留空白。</w:t>
      </w:r>
    </w:p>
    <w:p w14:paraId="42582145">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4、本表可在不改变格式的情况下根据具体需要自行增减。</w:t>
      </w:r>
    </w:p>
    <w:p w14:paraId="4A011EB2">
      <w:pPr>
        <w:pStyle w:val="31"/>
        <w:shd w:val="clear"/>
        <w:spacing w:line="360" w:lineRule="exact"/>
        <w:ind w:firstLine="210"/>
        <w:rPr>
          <w:rFonts w:hint="eastAsia" w:ascii="宋体" w:hAnsi="宋体" w:eastAsia="宋体" w:cs="宋体"/>
          <w:color w:val="auto"/>
          <w:highlight w:val="none"/>
        </w:rPr>
      </w:pPr>
    </w:p>
    <w:p w14:paraId="28036935">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25E7E83A">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4CC4C7F8">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34385933">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2"/>
          <w:szCs w:val="22"/>
          <w:highlight w:val="none"/>
        </w:rPr>
        <w:t>附件四</w:t>
      </w:r>
    </w:p>
    <w:p w14:paraId="70C2C6C7">
      <w:pPr>
        <w:shd w:val="clear"/>
        <w:spacing w:line="3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p w14:paraId="7B50A48B">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29B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14:paraId="5FC56A0C">
            <w:pPr>
              <w:shd w:val="clear"/>
              <w:spacing w:line="360" w:lineRule="exact"/>
              <w:jc w:val="center"/>
              <w:rPr>
                <w:rFonts w:hint="eastAsia" w:ascii="宋体" w:hAnsi="宋体" w:eastAsia="宋体" w:cs="宋体"/>
                <w:color w:val="auto"/>
                <w:sz w:val="22"/>
                <w:szCs w:val="22"/>
                <w:highlight w:val="none"/>
              </w:rPr>
            </w:pPr>
          </w:p>
        </w:tc>
        <w:tc>
          <w:tcPr>
            <w:tcW w:w="1364" w:type="dxa"/>
            <w:vAlign w:val="center"/>
          </w:tcPr>
          <w:p w14:paraId="33822A7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97" w:type="dxa"/>
            <w:vAlign w:val="center"/>
          </w:tcPr>
          <w:p w14:paraId="23A33A52">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48012CA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条目号</w:t>
            </w:r>
          </w:p>
        </w:tc>
        <w:tc>
          <w:tcPr>
            <w:tcW w:w="1992" w:type="dxa"/>
            <w:vAlign w:val="center"/>
          </w:tcPr>
          <w:p w14:paraId="701A42AD">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3A7CE26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规范要求</w:t>
            </w:r>
          </w:p>
        </w:tc>
        <w:tc>
          <w:tcPr>
            <w:tcW w:w="1866" w:type="dxa"/>
            <w:vAlign w:val="center"/>
          </w:tcPr>
          <w:p w14:paraId="6406777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w:t>
            </w:r>
          </w:p>
          <w:p w14:paraId="6722C9BA">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对应规范</w:t>
            </w:r>
          </w:p>
        </w:tc>
        <w:tc>
          <w:tcPr>
            <w:tcW w:w="1592" w:type="dxa"/>
            <w:vAlign w:val="center"/>
          </w:tcPr>
          <w:p w14:paraId="3CA1E42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37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14:paraId="125E0B3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w:t>
            </w:r>
          </w:p>
          <w:p w14:paraId="3CE0E1D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术</w:t>
            </w:r>
          </w:p>
          <w:p w14:paraId="1A45036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w:t>
            </w:r>
          </w:p>
          <w:p w14:paraId="64A0110E">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格</w:t>
            </w:r>
          </w:p>
        </w:tc>
        <w:tc>
          <w:tcPr>
            <w:tcW w:w="1364" w:type="dxa"/>
            <w:vAlign w:val="center"/>
          </w:tcPr>
          <w:p w14:paraId="6BBB3E58">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0953A444">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68D18690">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924358D">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0D274A00">
            <w:pPr>
              <w:shd w:val="clear"/>
              <w:spacing w:line="360" w:lineRule="exact"/>
              <w:jc w:val="center"/>
              <w:rPr>
                <w:rFonts w:hint="eastAsia" w:ascii="宋体" w:hAnsi="宋体" w:eastAsia="宋体" w:cs="宋体"/>
                <w:color w:val="auto"/>
                <w:sz w:val="22"/>
                <w:szCs w:val="22"/>
                <w:highlight w:val="none"/>
              </w:rPr>
            </w:pPr>
          </w:p>
        </w:tc>
      </w:tr>
      <w:tr w14:paraId="552B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60137519">
            <w:pPr>
              <w:shd w:val="clear"/>
              <w:rPr>
                <w:rFonts w:hint="eastAsia" w:ascii="宋体" w:hAnsi="宋体" w:eastAsia="宋体" w:cs="宋体"/>
                <w:color w:val="auto"/>
                <w:highlight w:val="none"/>
              </w:rPr>
            </w:pPr>
          </w:p>
        </w:tc>
        <w:tc>
          <w:tcPr>
            <w:tcW w:w="1364" w:type="dxa"/>
            <w:vAlign w:val="center"/>
          </w:tcPr>
          <w:p w14:paraId="65802DA0">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01634266">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57F6EC6A">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36D8828A">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2B14B9E2">
            <w:pPr>
              <w:shd w:val="clear"/>
              <w:spacing w:line="360" w:lineRule="exact"/>
              <w:jc w:val="center"/>
              <w:rPr>
                <w:rFonts w:hint="eastAsia" w:ascii="宋体" w:hAnsi="宋体" w:eastAsia="宋体" w:cs="宋体"/>
                <w:color w:val="auto"/>
                <w:sz w:val="22"/>
                <w:szCs w:val="22"/>
                <w:highlight w:val="none"/>
              </w:rPr>
            </w:pPr>
          </w:p>
        </w:tc>
      </w:tr>
      <w:tr w14:paraId="592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0C680231">
            <w:pPr>
              <w:shd w:val="clear"/>
              <w:rPr>
                <w:rFonts w:hint="eastAsia" w:ascii="宋体" w:hAnsi="宋体" w:eastAsia="宋体" w:cs="宋体"/>
                <w:color w:val="auto"/>
                <w:highlight w:val="none"/>
              </w:rPr>
            </w:pPr>
          </w:p>
        </w:tc>
        <w:tc>
          <w:tcPr>
            <w:tcW w:w="1364" w:type="dxa"/>
            <w:vAlign w:val="center"/>
          </w:tcPr>
          <w:p w14:paraId="0D28B791">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6E16FE21">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03202AA2">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041038E2">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7D62FA23">
            <w:pPr>
              <w:shd w:val="clear"/>
              <w:spacing w:line="360" w:lineRule="exact"/>
              <w:jc w:val="center"/>
              <w:rPr>
                <w:rFonts w:hint="eastAsia" w:ascii="宋体" w:hAnsi="宋体" w:eastAsia="宋体" w:cs="宋体"/>
                <w:color w:val="auto"/>
                <w:sz w:val="22"/>
                <w:szCs w:val="22"/>
                <w:highlight w:val="none"/>
              </w:rPr>
            </w:pPr>
          </w:p>
        </w:tc>
      </w:tr>
      <w:tr w14:paraId="370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2E97EA35">
            <w:pPr>
              <w:shd w:val="clear"/>
              <w:rPr>
                <w:rFonts w:hint="eastAsia" w:ascii="宋体" w:hAnsi="宋体" w:eastAsia="宋体" w:cs="宋体"/>
                <w:color w:val="auto"/>
                <w:highlight w:val="none"/>
              </w:rPr>
            </w:pPr>
          </w:p>
        </w:tc>
        <w:tc>
          <w:tcPr>
            <w:tcW w:w="1364" w:type="dxa"/>
            <w:vAlign w:val="center"/>
          </w:tcPr>
          <w:p w14:paraId="1500B42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70BAE74">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76308F20">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3FEFA98C">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6848417D">
            <w:pPr>
              <w:shd w:val="clear"/>
              <w:spacing w:line="360" w:lineRule="exact"/>
              <w:jc w:val="center"/>
              <w:rPr>
                <w:rFonts w:hint="eastAsia" w:ascii="宋体" w:hAnsi="宋体" w:eastAsia="宋体" w:cs="宋体"/>
                <w:color w:val="auto"/>
                <w:sz w:val="22"/>
                <w:szCs w:val="22"/>
                <w:highlight w:val="none"/>
              </w:rPr>
            </w:pPr>
          </w:p>
        </w:tc>
      </w:tr>
      <w:tr w14:paraId="161E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614B060B">
            <w:pPr>
              <w:shd w:val="clear"/>
              <w:rPr>
                <w:rFonts w:hint="eastAsia" w:ascii="宋体" w:hAnsi="宋体" w:eastAsia="宋体" w:cs="宋体"/>
                <w:color w:val="auto"/>
                <w:highlight w:val="none"/>
              </w:rPr>
            </w:pPr>
          </w:p>
        </w:tc>
        <w:tc>
          <w:tcPr>
            <w:tcW w:w="1364" w:type="dxa"/>
            <w:vAlign w:val="center"/>
          </w:tcPr>
          <w:p w14:paraId="1633C930">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BB9ED35">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06CE01FE">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282F2ACB">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34896618">
            <w:pPr>
              <w:shd w:val="clear"/>
              <w:spacing w:line="360" w:lineRule="exact"/>
              <w:jc w:val="center"/>
              <w:rPr>
                <w:rFonts w:hint="eastAsia" w:ascii="宋体" w:hAnsi="宋体" w:eastAsia="宋体" w:cs="宋体"/>
                <w:color w:val="auto"/>
                <w:sz w:val="22"/>
                <w:szCs w:val="22"/>
                <w:highlight w:val="none"/>
              </w:rPr>
            </w:pPr>
          </w:p>
        </w:tc>
      </w:tr>
      <w:tr w14:paraId="175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14:paraId="28E0DA8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w:t>
            </w:r>
          </w:p>
          <w:p w14:paraId="552C06E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务</w:t>
            </w:r>
          </w:p>
          <w:p w14:paraId="15114C3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p w14:paraId="53A5CFB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w:t>
            </w:r>
          </w:p>
        </w:tc>
        <w:tc>
          <w:tcPr>
            <w:tcW w:w="1364" w:type="dxa"/>
            <w:vAlign w:val="center"/>
          </w:tcPr>
          <w:p w14:paraId="1B1DA0DB">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AB0A615">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45E05A21">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AEE9069">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3D26DF9D">
            <w:pPr>
              <w:shd w:val="clear"/>
              <w:spacing w:line="360" w:lineRule="exact"/>
              <w:jc w:val="center"/>
              <w:rPr>
                <w:rFonts w:hint="eastAsia" w:ascii="宋体" w:hAnsi="宋体" w:eastAsia="宋体" w:cs="宋体"/>
                <w:color w:val="auto"/>
                <w:sz w:val="22"/>
                <w:szCs w:val="22"/>
                <w:highlight w:val="none"/>
              </w:rPr>
            </w:pPr>
          </w:p>
        </w:tc>
      </w:tr>
      <w:tr w14:paraId="1DF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76CD0306">
            <w:pPr>
              <w:shd w:val="clear"/>
              <w:rPr>
                <w:rFonts w:hint="eastAsia" w:ascii="宋体" w:hAnsi="宋体" w:eastAsia="宋体" w:cs="宋体"/>
                <w:color w:val="auto"/>
                <w:highlight w:val="none"/>
              </w:rPr>
            </w:pPr>
          </w:p>
        </w:tc>
        <w:tc>
          <w:tcPr>
            <w:tcW w:w="1364" w:type="dxa"/>
            <w:vAlign w:val="center"/>
          </w:tcPr>
          <w:p w14:paraId="31F9F84A">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DB6F324">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4E9A9820">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1BCADA9F">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5031B4D1">
            <w:pPr>
              <w:shd w:val="clear"/>
              <w:spacing w:line="360" w:lineRule="exact"/>
              <w:jc w:val="center"/>
              <w:rPr>
                <w:rFonts w:hint="eastAsia" w:ascii="宋体" w:hAnsi="宋体" w:eastAsia="宋体" w:cs="宋体"/>
                <w:color w:val="auto"/>
                <w:sz w:val="22"/>
                <w:szCs w:val="22"/>
                <w:highlight w:val="none"/>
              </w:rPr>
            </w:pPr>
          </w:p>
        </w:tc>
      </w:tr>
      <w:tr w14:paraId="040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7DE99F37">
            <w:pPr>
              <w:shd w:val="clear"/>
              <w:rPr>
                <w:rFonts w:hint="eastAsia" w:ascii="宋体" w:hAnsi="宋体" w:eastAsia="宋体" w:cs="宋体"/>
                <w:color w:val="auto"/>
                <w:highlight w:val="none"/>
              </w:rPr>
            </w:pPr>
          </w:p>
        </w:tc>
        <w:tc>
          <w:tcPr>
            <w:tcW w:w="1364" w:type="dxa"/>
            <w:vAlign w:val="center"/>
          </w:tcPr>
          <w:p w14:paraId="068E05D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118271CE">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5454B2DE">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505ECFFB">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605DA826">
            <w:pPr>
              <w:shd w:val="clear"/>
              <w:spacing w:line="360" w:lineRule="exact"/>
              <w:jc w:val="center"/>
              <w:rPr>
                <w:rFonts w:hint="eastAsia" w:ascii="宋体" w:hAnsi="宋体" w:eastAsia="宋体" w:cs="宋体"/>
                <w:color w:val="auto"/>
                <w:sz w:val="22"/>
                <w:szCs w:val="22"/>
                <w:highlight w:val="none"/>
              </w:rPr>
            </w:pPr>
          </w:p>
        </w:tc>
      </w:tr>
      <w:tr w14:paraId="056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597F2251">
            <w:pPr>
              <w:shd w:val="clear"/>
              <w:rPr>
                <w:rFonts w:hint="eastAsia" w:ascii="宋体" w:hAnsi="宋体" w:eastAsia="宋体" w:cs="宋体"/>
                <w:color w:val="auto"/>
                <w:highlight w:val="none"/>
              </w:rPr>
            </w:pPr>
          </w:p>
        </w:tc>
        <w:tc>
          <w:tcPr>
            <w:tcW w:w="1364" w:type="dxa"/>
            <w:vAlign w:val="center"/>
          </w:tcPr>
          <w:p w14:paraId="7D5468A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2A3F7F5F">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61063BE6">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734BEF8">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4D8F16D2">
            <w:pPr>
              <w:shd w:val="clear"/>
              <w:spacing w:line="360" w:lineRule="exact"/>
              <w:jc w:val="center"/>
              <w:rPr>
                <w:rFonts w:hint="eastAsia" w:ascii="宋体" w:hAnsi="宋体" w:eastAsia="宋体" w:cs="宋体"/>
                <w:color w:val="auto"/>
                <w:sz w:val="22"/>
                <w:szCs w:val="22"/>
                <w:highlight w:val="none"/>
              </w:rPr>
            </w:pPr>
          </w:p>
        </w:tc>
      </w:tr>
      <w:tr w14:paraId="6326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0118F1B9">
            <w:pPr>
              <w:shd w:val="clear"/>
              <w:rPr>
                <w:rFonts w:hint="eastAsia" w:ascii="宋体" w:hAnsi="宋体" w:eastAsia="宋体" w:cs="宋体"/>
                <w:color w:val="auto"/>
                <w:highlight w:val="none"/>
              </w:rPr>
            </w:pPr>
          </w:p>
        </w:tc>
        <w:tc>
          <w:tcPr>
            <w:tcW w:w="1364" w:type="dxa"/>
            <w:vAlign w:val="center"/>
          </w:tcPr>
          <w:p w14:paraId="34FE082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108B474A">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4A3AAAAD">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7B2874D">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26FD6C0B">
            <w:pPr>
              <w:shd w:val="clear"/>
              <w:spacing w:line="360" w:lineRule="exact"/>
              <w:jc w:val="center"/>
              <w:rPr>
                <w:rFonts w:hint="eastAsia" w:ascii="宋体" w:hAnsi="宋体" w:eastAsia="宋体" w:cs="宋体"/>
                <w:color w:val="auto"/>
                <w:sz w:val="22"/>
                <w:szCs w:val="22"/>
                <w:highlight w:val="none"/>
              </w:rPr>
            </w:pPr>
          </w:p>
        </w:tc>
      </w:tr>
    </w:tbl>
    <w:p w14:paraId="5AA2D03B">
      <w:pPr>
        <w:shd w:val="clear"/>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注：不填写此表视为完全响应采购文件内容。</w:t>
      </w:r>
    </w:p>
    <w:p w14:paraId="331B4E29">
      <w:pPr>
        <w:shd w:val="clear"/>
        <w:spacing w:line="360" w:lineRule="exact"/>
        <w:ind w:firstLine="4417" w:firstLineChars="2000"/>
        <w:rPr>
          <w:rFonts w:hint="eastAsia" w:ascii="宋体" w:hAnsi="宋体" w:eastAsia="宋体" w:cs="宋体"/>
          <w:b/>
          <w:color w:val="auto"/>
          <w:sz w:val="22"/>
          <w:szCs w:val="22"/>
          <w:highlight w:val="none"/>
        </w:rPr>
      </w:pPr>
    </w:p>
    <w:p w14:paraId="399255DC">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3DF4A007">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CAC14D7">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20A87651">
      <w:pPr>
        <w:shd w:val="clear"/>
        <w:spacing w:line="360" w:lineRule="exact"/>
        <w:jc w:val="left"/>
        <w:rPr>
          <w:rFonts w:hint="eastAsia" w:ascii="宋体" w:hAnsi="宋体" w:eastAsia="宋体" w:cs="宋体"/>
          <w:b/>
          <w:color w:val="auto"/>
          <w:sz w:val="22"/>
          <w:szCs w:val="22"/>
          <w:highlight w:val="none"/>
        </w:rPr>
      </w:pPr>
    </w:p>
    <w:p w14:paraId="44D49744">
      <w:pPr>
        <w:shd w:val="clear"/>
        <w:spacing w:line="36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附件五</w:t>
      </w:r>
    </w:p>
    <w:p w14:paraId="2ABBD775">
      <w:pPr>
        <w:shd w:val="clea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（1）项目负责人资历表</w:t>
      </w:r>
    </w:p>
    <w:tbl>
      <w:tblPr>
        <w:tblStyle w:val="33"/>
        <w:tblW w:w="0" w:type="auto"/>
        <w:jc w:val="center"/>
        <w:tblLayout w:type="fixed"/>
        <w:tblCellMar>
          <w:top w:w="0" w:type="dxa"/>
          <w:left w:w="108" w:type="dxa"/>
          <w:bottom w:w="0" w:type="dxa"/>
          <w:right w:w="108" w:type="dxa"/>
        </w:tblCellMar>
      </w:tblPr>
      <w:tblGrid>
        <w:gridCol w:w="780"/>
        <w:gridCol w:w="873"/>
        <w:gridCol w:w="893"/>
        <w:gridCol w:w="820"/>
        <w:gridCol w:w="993"/>
        <w:gridCol w:w="883"/>
        <w:gridCol w:w="372"/>
        <w:gridCol w:w="335"/>
        <w:gridCol w:w="773"/>
        <w:gridCol w:w="544"/>
        <w:gridCol w:w="901"/>
        <w:gridCol w:w="1687"/>
      </w:tblGrid>
      <w:tr w14:paraId="19D2A292">
        <w:tblPrEx>
          <w:tblCellMar>
            <w:top w:w="0" w:type="dxa"/>
            <w:left w:w="108" w:type="dxa"/>
            <w:bottom w:w="0" w:type="dxa"/>
            <w:right w:w="108" w:type="dxa"/>
          </w:tblCellMar>
        </w:tblPrEx>
        <w:trPr>
          <w:trHeight w:val="680" w:hRule="atLeast"/>
          <w:jc w:val="center"/>
        </w:trPr>
        <w:tc>
          <w:tcPr>
            <w:tcW w:w="9854" w:type="dxa"/>
            <w:gridSpan w:val="12"/>
            <w:tcBorders>
              <w:top w:val="single" w:color="000000" w:sz="12" w:space="0"/>
              <w:left w:val="single" w:color="000000" w:sz="12" w:space="0"/>
              <w:bottom w:val="single" w:color="000000" w:sz="6" w:space="0"/>
              <w:right w:val="single" w:color="000000" w:sz="12" w:space="0"/>
            </w:tcBorders>
            <w:vAlign w:val="center"/>
          </w:tcPr>
          <w:p w14:paraId="03456F7C">
            <w:pPr>
              <w:pStyle w:val="67"/>
              <w:shd w:val="clear"/>
              <w:jc w:val="center"/>
              <w:rPr>
                <w:rFonts w:hint="eastAsia" w:ascii="宋体" w:hAnsi="宋体" w:eastAsia="宋体" w:cs="宋体"/>
                <w:color w:val="auto"/>
                <w:sz w:val="22"/>
                <w:szCs w:val="22"/>
                <w:highlight w:val="none"/>
              </w:rPr>
            </w:pPr>
            <w:bookmarkStart w:id="154" w:name="_Toc309996259"/>
            <w:bookmarkStart w:id="155" w:name="_Toc309048448"/>
            <w:r>
              <w:rPr>
                <w:rFonts w:hint="eastAsia" w:ascii="宋体" w:hAnsi="宋体" w:eastAsia="宋体" w:cs="宋体"/>
                <w:color w:val="auto"/>
                <w:sz w:val="22"/>
                <w:szCs w:val="22"/>
                <w:highlight w:val="none"/>
              </w:rPr>
              <w:t>1．一般情况</w:t>
            </w:r>
            <w:bookmarkEnd w:id="154"/>
            <w:bookmarkEnd w:id="155"/>
          </w:p>
        </w:tc>
      </w:tr>
      <w:tr w14:paraId="53DB717E">
        <w:tblPrEx>
          <w:tblCellMar>
            <w:top w:w="0" w:type="dxa"/>
            <w:left w:w="108" w:type="dxa"/>
            <w:bottom w:w="0" w:type="dxa"/>
            <w:right w:w="108" w:type="dxa"/>
          </w:tblCellMar>
        </w:tblPrEx>
        <w:trPr>
          <w:trHeight w:val="694"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40B36933">
            <w:pPr>
              <w:pStyle w:val="67"/>
              <w:shd w:val="clear"/>
              <w:jc w:val="center"/>
              <w:rPr>
                <w:rFonts w:hint="eastAsia" w:ascii="宋体" w:hAnsi="宋体" w:eastAsia="宋体" w:cs="宋体"/>
                <w:color w:val="auto"/>
                <w:sz w:val="22"/>
                <w:szCs w:val="22"/>
                <w:highlight w:val="none"/>
              </w:rPr>
            </w:pPr>
            <w:bookmarkStart w:id="156" w:name="_Toc309996260"/>
            <w:bookmarkStart w:id="157" w:name="_Toc309048449"/>
            <w:r>
              <w:rPr>
                <w:rFonts w:hint="eastAsia" w:ascii="宋体" w:hAnsi="宋体" w:eastAsia="宋体" w:cs="宋体"/>
                <w:color w:val="auto"/>
                <w:sz w:val="22"/>
                <w:szCs w:val="22"/>
                <w:highlight w:val="none"/>
              </w:rPr>
              <w:t>姓名</w:t>
            </w:r>
            <w:bookmarkEnd w:id="156"/>
            <w:bookmarkEnd w:id="157"/>
          </w:p>
        </w:tc>
        <w:tc>
          <w:tcPr>
            <w:tcW w:w="873" w:type="dxa"/>
            <w:tcBorders>
              <w:top w:val="single" w:color="000000" w:sz="6" w:space="0"/>
              <w:left w:val="single" w:color="000000" w:sz="4" w:space="0"/>
              <w:bottom w:val="single" w:color="000000" w:sz="6" w:space="0"/>
              <w:right w:val="single" w:color="000000" w:sz="4" w:space="0"/>
            </w:tcBorders>
            <w:vAlign w:val="center"/>
          </w:tcPr>
          <w:p w14:paraId="3DD78FCF">
            <w:pPr>
              <w:pStyle w:val="67"/>
              <w:shd w:val="clear"/>
              <w:jc w:val="center"/>
              <w:rPr>
                <w:rFonts w:hint="eastAsia" w:ascii="宋体" w:hAnsi="宋体" w:eastAsia="宋体" w:cs="宋体"/>
                <w:color w:val="auto"/>
                <w:sz w:val="22"/>
                <w:szCs w:val="22"/>
                <w:highlight w:val="none"/>
              </w:rPr>
            </w:pPr>
          </w:p>
        </w:tc>
        <w:tc>
          <w:tcPr>
            <w:tcW w:w="893" w:type="dxa"/>
            <w:tcBorders>
              <w:top w:val="single" w:color="000000" w:sz="6" w:space="0"/>
              <w:left w:val="single" w:color="000000" w:sz="4" w:space="0"/>
              <w:bottom w:val="single" w:color="000000" w:sz="6" w:space="0"/>
              <w:right w:val="single" w:color="000000" w:sz="4" w:space="0"/>
            </w:tcBorders>
            <w:vAlign w:val="center"/>
          </w:tcPr>
          <w:p w14:paraId="11B4E094">
            <w:pPr>
              <w:pStyle w:val="67"/>
              <w:shd w:val="clear"/>
              <w:jc w:val="center"/>
              <w:rPr>
                <w:rFonts w:hint="eastAsia" w:ascii="宋体" w:hAnsi="宋体" w:eastAsia="宋体" w:cs="宋体"/>
                <w:color w:val="auto"/>
                <w:sz w:val="22"/>
                <w:szCs w:val="22"/>
                <w:highlight w:val="none"/>
              </w:rPr>
            </w:pPr>
            <w:bookmarkStart w:id="158" w:name="_Toc309048450"/>
            <w:bookmarkStart w:id="159" w:name="_Toc309996261"/>
            <w:r>
              <w:rPr>
                <w:rFonts w:hint="eastAsia" w:ascii="宋体" w:hAnsi="宋体" w:eastAsia="宋体" w:cs="宋体"/>
                <w:color w:val="auto"/>
                <w:sz w:val="22"/>
                <w:szCs w:val="22"/>
                <w:highlight w:val="none"/>
              </w:rPr>
              <w:t>性别</w:t>
            </w:r>
            <w:bookmarkEnd w:id="158"/>
            <w:bookmarkEnd w:id="159"/>
          </w:p>
        </w:tc>
        <w:tc>
          <w:tcPr>
            <w:tcW w:w="820" w:type="dxa"/>
            <w:tcBorders>
              <w:top w:val="single" w:color="000000" w:sz="6" w:space="0"/>
              <w:left w:val="single" w:color="000000" w:sz="4" w:space="0"/>
              <w:bottom w:val="single" w:color="000000" w:sz="6" w:space="0"/>
              <w:right w:val="single" w:color="000000" w:sz="4" w:space="0"/>
            </w:tcBorders>
            <w:vAlign w:val="center"/>
          </w:tcPr>
          <w:p w14:paraId="63184237">
            <w:pPr>
              <w:pStyle w:val="67"/>
              <w:shd w:val="clear"/>
              <w:jc w:val="center"/>
              <w:rPr>
                <w:rFonts w:hint="eastAsia" w:ascii="宋体" w:hAnsi="宋体" w:eastAsia="宋体" w:cs="宋体"/>
                <w:color w:val="auto"/>
                <w:sz w:val="22"/>
                <w:szCs w:val="22"/>
                <w:highlight w:val="none"/>
              </w:rPr>
            </w:pPr>
          </w:p>
        </w:tc>
        <w:tc>
          <w:tcPr>
            <w:tcW w:w="993" w:type="dxa"/>
            <w:tcBorders>
              <w:top w:val="single" w:color="000000" w:sz="6" w:space="0"/>
              <w:left w:val="single" w:color="000000" w:sz="4" w:space="0"/>
              <w:bottom w:val="single" w:color="000000" w:sz="6" w:space="0"/>
              <w:right w:val="single" w:color="000000" w:sz="4" w:space="0"/>
            </w:tcBorders>
            <w:vAlign w:val="center"/>
          </w:tcPr>
          <w:p w14:paraId="34B11784">
            <w:pPr>
              <w:pStyle w:val="67"/>
              <w:shd w:val="clear"/>
              <w:jc w:val="center"/>
              <w:rPr>
                <w:rFonts w:hint="eastAsia" w:ascii="宋体" w:hAnsi="宋体" w:eastAsia="宋体" w:cs="宋体"/>
                <w:color w:val="auto"/>
                <w:sz w:val="22"/>
                <w:szCs w:val="22"/>
                <w:highlight w:val="none"/>
              </w:rPr>
            </w:pPr>
            <w:bookmarkStart w:id="160" w:name="_Toc309996262"/>
            <w:bookmarkStart w:id="161" w:name="_Toc309048451"/>
            <w:r>
              <w:rPr>
                <w:rFonts w:hint="eastAsia" w:ascii="宋体" w:hAnsi="宋体" w:eastAsia="宋体" w:cs="宋体"/>
                <w:color w:val="auto"/>
                <w:sz w:val="22"/>
                <w:szCs w:val="22"/>
                <w:highlight w:val="none"/>
              </w:rPr>
              <w:t>年龄</w:t>
            </w:r>
            <w:bookmarkEnd w:id="160"/>
            <w:bookmarkEnd w:id="161"/>
          </w:p>
        </w:tc>
        <w:tc>
          <w:tcPr>
            <w:tcW w:w="883" w:type="dxa"/>
            <w:tcBorders>
              <w:top w:val="single" w:color="000000" w:sz="6" w:space="0"/>
              <w:left w:val="single" w:color="000000" w:sz="4" w:space="0"/>
              <w:bottom w:val="single" w:color="000000" w:sz="6" w:space="0"/>
              <w:right w:val="single" w:color="000000" w:sz="4" w:space="0"/>
            </w:tcBorders>
            <w:vAlign w:val="center"/>
          </w:tcPr>
          <w:p w14:paraId="08DFED23">
            <w:pPr>
              <w:pStyle w:val="67"/>
              <w:shd w:val="clear"/>
              <w:jc w:val="center"/>
              <w:rPr>
                <w:rFonts w:hint="eastAsia" w:ascii="宋体" w:hAnsi="宋体" w:eastAsia="宋体" w:cs="宋体"/>
                <w:color w:val="auto"/>
                <w:sz w:val="22"/>
                <w:szCs w:val="22"/>
                <w:highlight w:val="none"/>
              </w:rPr>
            </w:pPr>
          </w:p>
        </w:tc>
        <w:tc>
          <w:tcPr>
            <w:tcW w:w="707" w:type="dxa"/>
            <w:gridSpan w:val="2"/>
            <w:tcBorders>
              <w:top w:val="single" w:color="000000" w:sz="6" w:space="0"/>
              <w:left w:val="single" w:color="000000" w:sz="4" w:space="0"/>
              <w:bottom w:val="single" w:color="000000" w:sz="6" w:space="0"/>
              <w:right w:val="single" w:color="000000" w:sz="4" w:space="0"/>
            </w:tcBorders>
            <w:vAlign w:val="center"/>
          </w:tcPr>
          <w:p w14:paraId="11990473">
            <w:pPr>
              <w:pStyle w:val="67"/>
              <w:shd w:val="clear"/>
              <w:jc w:val="center"/>
              <w:rPr>
                <w:rFonts w:hint="eastAsia" w:ascii="宋体" w:hAnsi="宋体" w:eastAsia="宋体" w:cs="宋体"/>
                <w:color w:val="auto"/>
                <w:sz w:val="22"/>
                <w:szCs w:val="22"/>
                <w:highlight w:val="none"/>
              </w:rPr>
            </w:pPr>
            <w:bookmarkStart w:id="162" w:name="_Toc309996263"/>
            <w:bookmarkStart w:id="163" w:name="_Toc309048452"/>
            <w:r>
              <w:rPr>
                <w:rFonts w:hint="eastAsia" w:ascii="宋体" w:hAnsi="宋体" w:eastAsia="宋体" w:cs="宋体"/>
                <w:color w:val="auto"/>
                <w:sz w:val="22"/>
                <w:szCs w:val="22"/>
                <w:highlight w:val="none"/>
              </w:rPr>
              <w:t>学位</w:t>
            </w:r>
            <w:bookmarkEnd w:id="162"/>
            <w:bookmarkEnd w:id="163"/>
          </w:p>
        </w:tc>
        <w:tc>
          <w:tcPr>
            <w:tcW w:w="773" w:type="dxa"/>
            <w:tcBorders>
              <w:top w:val="single" w:color="000000" w:sz="6" w:space="0"/>
              <w:left w:val="single" w:color="000000" w:sz="4" w:space="0"/>
              <w:bottom w:val="single" w:color="000000" w:sz="6" w:space="0"/>
              <w:right w:val="single" w:color="000000" w:sz="4" w:space="0"/>
            </w:tcBorders>
            <w:vAlign w:val="center"/>
          </w:tcPr>
          <w:p w14:paraId="364C741D">
            <w:pPr>
              <w:pStyle w:val="67"/>
              <w:shd w:val="clear"/>
              <w:jc w:val="center"/>
              <w:rPr>
                <w:rFonts w:hint="eastAsia" w:ascii="宋体" w:hAnsi="宋体" w:eastAsia="宋体" w:cs="宋体"/>
                <w:color w:val="auto"/>
                <w:sz w:val="22"/>
                <w:szCs w:val="22"/>
                <w:highlight w:val="none"/>
              </w:rPr>
            </w:pPr>
          </w:p>
        </w:tc>
        <w:tc>
          <w:tcPr>
            <w:tcW w:w="1445" w:type="dxa"/>
            <w:gridSpan w:val="2"/>
            <w:tcBorders>
              <w:top w:val="single" w:color="000000" w:sz="6" w:space="0"/>
              <w:left w:val="single" w:color="000000" w:sz="4" w:space="0"/>
              <w:bottom w:val="single" w:color="000000" w:sz="6" w:space="0"/>
              <w:right w:val="single" w:color="000000" w:sz="4" w:space="0"/>
            </w:tcBorders>
            <w:vAlign w:val="center"/>
          </w:tcPr>
          <w:p w14:paraId="2E0F4930">
            <w:pPr>
              <w:pStyle w:val="67"/>
              <w:shd w:val="clear"/>
              <w:jc w:val="center"/>
              <w:rPr>
                <w:rFonts w:hint="eastAsia" w:ascii="宋体" w:hAnsi="宋体" w:eastAsia="宋体" w:cs="宋体"/>
                <w:color w:val="auto"/>
                <w:sz w:val="22"/>
                <w:szCs w:val="22"/>
                <w:highlight w:val="none"/>
              </w:rPr>
            </w:pPr>
            <w:bookmarkStart w:id="164" w:name="_Toc309048453"/>
            <w:bookmarkStart w:id="165" w:name="_Toc309996264"/>
            <w:r>
              <w:rPr>
                <w:rFonts w:hint="eastAsia" w:ascii="宋体" w:hAnsi="宋体" w:eastAsia="宋体" w:cs="宋体"/>
                <w:color w:val="auto"/>
                <w:sz w:val="22"/>
                <w:szCs w:val="22"/>
                <w:highlight w:val="none"/>
              </w:rPr>
              <w:t>身份证号码</w:t>
            </w:r>
            <w:bookmarkEnd w:id="164"/>
            <w:bookmarkEnd w:id="165"/>
          </w:p>
        </w:tc>
        <w:tc>
          <w:tcPr>
            <w:tcW w:w="1687" w:type="dxa"/>
            <w:tcBorders>
              <w:top w:val="single" w:color="000000" w:sz="6" w:space="0"/>
              <w:left w:val="single" w:color="000000" w:sz="4" w:space="0"/>
              <w:bottom w:val="single" w:color="000000" w:sz="6" w:space="0"/>
              <w:right w:val="single" w:color="000000" w:sz="12" w:space="0"/>
            </w:tcBorders>
            <w:vAlign w:val="center"/>
          </w:tcPr>
          <w:p w14:paraId="1B778950">
            <w:pPr>
              <w:pStyle w:val="67"/>
              <w:shd w:val="clear"/>
              <w:jc w:val="center"/>
              <w:rPr>
                <w:rFonts w:hint="eastAsia" w:ascii="宋体" w:hAnsi="宋体" w:eastAsia="宋体" w:cs="宋体"/>
                <w:color w:val="auto"/>
                <w:sz w:val="22"/>
                <w:szCs w:val="22"/>
                <w:highlight w:val="none"/>
              </w:rPr>
            </w:pPr>
          </w:p>
        </w:tc>
      </w:tr>
      <w:tr w14:paraId="521300D0">
        <w:tblPrEx>
          <w:tblCellMar>
            <w:top w:w="0" w:type="dxa"/>
            <w:left w:w="108" w:type="dxa"/>
            <w:bottom w:w="0" w:type="dxa"/>
            <w:right w:w="108" w:type="dxa"/>
          </w:tblCellMar>
        </w:tblPrEx>
        <w:trPr>
          <w:trHeight w:val="694" w:hRule="atLeast"/>
          <w:jc w:val="center"/>
        </w:trPr>
        <w:tc>
          <w:tcPr>
            <w:tcW w:w="1653" w:type="dxa"/>
            <w:gridSpan w:val="2"/>
            <w:tcBorders>
              <w:top w:val="single" w:color="000000" w:sz="6" w:space="0"/>
              <w:left w:val="single" w:color="000000" w:sz="12" w:space="0"/>
              <w:bottom w:val="single" w:color="000000" w:sz="6" w:space="0"/>
              <w:right w:val="single" w:color="000000" w:sz="4" w:space="0"/>
            </w:tcBorders>
            <w:vAlign w:val="center"/>
          </w:tcPr>
          <w:p w14:paraId="249DC7CA">
            <w:pPr>
              <w:pStyle w:val="67"/>
              <w:shd w:val="clear"/>
              <w:jc w:val="center"/>
              <w:rPr>
                <w:rFonts w:hint="eastAsia" w:ascii="宋体" w:hAnsi="宋体" w:eastAsia="宋体" w:cs="宋体"/>
                <w:color w:val="auto"/>
                <w:sz w:val="22"/>
                <w:szCs w:val="22"/>
                <w:highlight w:val="none"/>
              </w:rPr>
            </w:pPr>
            <w:bookmarkStart w:id="166" w:name="_Toc309048454"/>
            <w:bookmarkStart w:id="167" w:name="_Toc309996265"/>
            <w:r>
              <w:rPr>
                <w:rFonts w:hint="eastAsia" w:ascii="宋体" w:hAnsi="宋体" w:eastAsia="宋体" w:cs="宋体"/>
                <w:color w:val="auto"/>
                <w:sz w:val="22"/>
                <w:szCs w:val="22"/>
                <w:highlight w:val="none"/>
              </w:rPr>
              <w:t>职称</w:t>
            </w:r>
            <w:bookmarkEnd w:id="166"/>
            <w:bookmarkEnd w:id="167"/>
          </w:p>
        </w:tc>
        <w:tc>
          <w:tcPr>
            <w:tcW w:w="2706" w:type="dxa"/>
            <w:gridSpan w:val="3"/>
            <w:tcBorders>
              <w:top w:val="single" w:color="000000" w:sz="6" w:space="0"/>
              <w:left w:val="single" w:color="000000" w:sz="4" w:space="0"/>
              <w:bottom w:val="single" w:color="000000" w:sz="6" w:space="0"/>
              <w:right w:val="single" w:color="000000" w:sz="4" w:space="0"/>
            </w:tcBorders>
            <w:vAlign w:val="center"/>
          </w:tcPr>
          <w:p w14:paraId="54066221">
            <w:pPr>
              <w:pStyle w:val="67"/>
              <w:shd w:val="clear"/>
              <w:jc w:val="center"/>
              <w:rPr>
                <w:rFonts w:hint="eastAsia" w:ascii="宋体" w:hAnsi="宋体" w:eastAsia="宋体" w:cs="宋体"/>
                <w:color w:val="auto"/>
                <w:sz w:val="22"/>
                <w:szCs w:val="22"/>
                <w:highlight w:val="none"/>
              </w:rPr>
            </w:pPr>
          </w:p>
        </w:tc>
        <w:tc>
          <w:tcPr>
            <w:tcW w:w="3808" w:type="dxa"/>
            <w:gridSpan w:val="6"/>
            <w:tcBorders>
              <w:top w:val="single" w:color="000000" w:sz="6" w:space="0"/>
              <w:left w:val="single" w:color="000000" w:sz="4" w:space="0"/>
              <w:bottom w:val="single" w:color="000000" w:sz="6" w:space="0"/>
              <w:right w:val="single" w:color="auto" w:sz="4" w:space="0"/>
            </w:tcBorders>
            <w:vAlign w:val="center"/>
          </w:tcPr>
          <w:p w14:paraId="13EF6C59">
            <w:pPr>
              <w:pStyle w:val="67"/>
              <w:shd w:val="clear"/>
              <w:jc w:val="center"/>
              <w:rPr>
                <w:rFonts w:hint="eastAsia" w:ascii="宋体" w:hAnsi="宋体" w:eastAsia="宋体" w:cs="宋体"/>
                <w:color w:val="auto"/>
                <w:sz w:val="22"/>
                <w:szCs w:val="22"/>
                <w:highlight w:val="none"/>
              </w:rPr>
            </w:pPr>
            <w:bookmarkStart w:id="168" w:name="_Toc309996267"/>
            <w:bookmarkStart w:id="169" w:name="_Toc309048456"/>
            <w:r>
              <w:rPr>
                <w:rFonts w:hint="eastAsia" w:ascii="宋体" w:hAnsi="宋体" w:eastAsia="宋体" w:cs="宋体"/>
                <w:color w:val="auto"/>
                <w:sz w:val="22"/>
                <w:szCs w:val="22"/>
                <w:highlight w:val="none"/>
              </w:rPr>
              <w:t>在本合同中拟任职</w:t>
            </w:r>
            <w:bookmarkEnd w:id="168"/>
            <w:bookmarkEnd w:id="169"/>
          </w:p>
        </w:tc>
        <w:tc>
          <w:tcPr>
            <w:tcW w:w="1687" w:type="dxa"/>
            <w:tcBorders>
              <w:top w:val="single" w:color="000000" w:sz="6" w:space="0"/>
              <w:left w:val="single" w:color="auto" w:sz="4" w:space="0"/>
              <w:bottom w:val="single" w:color="000000" w:sz="6" w:space="0"/>
              <w:right w:val="single" w:color="000000" w:sz="12" w:space="0"/>
            </w:tcBorders>
            <w:vAlign w:val="center"/>
          </w:tcPr>
          <w:p w14:paraId="631C5C6F">
            <w:pPr>
              <w:pStyle w:val="67"/>
              <w:shd w:val="clear"/>
              <w:jc w:val="center"/>
              <w:rPr>
                <w:rFonts w:hint="eastAsia" w:ascii="宋体" w:hAnsi="宋体" w:eastAsia="宋体" w:cs="宋体"/>
                <w:color w:val="auto"/>
                <w:sz w:val="22"/>
                <w:szCs w:val="22"/>
                <w:highlight w:val="none"/>
              </w:rPr>
            </w:pPr>
          </w:p>
        </w:tc>
      </w:tr>
      <w:tr w14:paraId="459DA721">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3E131A62">
            <w:pPr>
              <w:pStyle w:val="67"/>
              <w:shd w:val="clear"/>
              <w:jc w:val="center"/>
              <w:rPr>
                <w:rFonts w:hint="eastAsia" w:ascii="宋体" w:hAnsi="宋体" w:eastAsia="宋体" w:cs="宋体"/>
                <w:color w:val="auto"/>
                <w:sz w:val="22"/>
                <w:szCs w:val="22"/>
                <w:highlight w:val="none"/>
              </w:rPr>
            </w:pPr>
            <w:bookmarkStart w:id="170" w:name="_Toc309048457"/>
            <w:bookmarkStart w:id="171" w:name="_Toc309996268"/>
            <w:r>
              <w:rPr>
                <w:rFonts w:hint="eastAsia" w:ascii="宋体" w:hAnsi="宋体" w:eastAsia="宋体" w:cs="宋体"/>
                <w:color w:val="auto"/>
                <w:sz w:val="22"/>
                <w:szCs w:val="22"/>
                <w:highlight w:val="none"/>
              </w:rPr>
              <w:t>学历</w:t>
            </w:r>
            <w:bookmarkEnd w:id="170"/>
            <w:bookmarkEnd w:id="171"/>
          </w:p>
        </w:tc>
        <w:tc>
          <w:tcPr>
            <w:tcW w:w="9074" w:type="dxa"/>
            <w:gridSpan w:val="11"/>
            <w:tcBorders>
              <w:top w:val="single" w:color="000000" w:sz="6" w:space="0"/>
              <w:left w:val="single" w:color="000000" w:sz="4" w:space="0"/>
              <w:bottom w:val="single" w:color="000000" w:sz="6" w:space="0"/>
              <w:right w:val="single" w:color="000000" w:sz="12" w:space="0"/>
            </w:tcBorders>
            <w:vAlign w:val="center"/>
          </w:tcPr>
          <w:p w14:paraId="7DE7EDE0">
            <w:pPr>
              <w:pStyle w:val="67"/>
              <w:shd w:val="clear"/>
              <w:jc w:val="center"/>
              <w:rPr>
                <w:rFonts w:hint="eastAsia" w:ascii="宋体" w:hAnsi="宋体" w:eastAsia="宋体" w:cs="宋体"/>
                <w:color w:val="auto"/>
                <w:sz w:val="22"/>
                <w:szCs w:val="22"/>
                <w:highlight w:val="none"/>
              </w:rPr>
            </w:pPr>
            <w:bookmarkStart w:id="172" w:name="_Toc309996269"/>
            <w:bookmarkStart w:id="173" w:name="_Toc309048458"/>
            <w:r>
              <w:rPr>
                <w:rFonts w:hint="eastAsia" w:ascii="宋体" w:hAnsi="宋体" w:eastAsia="宋体" w:cs="宋体"/>
                <w:color w:val="auto"/>
                <w:sz w:val="22"/>
                <w:szCs w:val="22"/>
                <w:highlight w:val="none"/>
              </w:rPr>
              <w:t>年毕业于            （学校）                 （专业）</w:t>
            </w:r>
            <w:bookmarkEnd w:id="172"/>
            <w:bookmarkEnd w:id="173"/>
          </w:p>
        </w:tc>
      </w:tr>
      <w:tr w14:paraId="3D5697F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4C218776">
            <w:pPr>
              <w:pStyle w:val="67"/>
              <w:shd w:val="clear"/>
              <w:jc w:val="center"/>
              <w:rPr>
                <w:rFonts w:hint="eastAsia" w:ascii="宋体" w:hAnsi="宋体" w:eastAsia="宋体" w:cs="宋体"/>
                <w:color w:val="auto"/>
                <w:sz w:val="22"/>
                <w:szCs w:val="22"/>
                <w:highlight w:val="none"/>
              </w:rPr>
            </w:pPr>
            <w:bookmarkStart w:id="174" w:name="_Toc309048459"/>
            <w:bookmarkStart w:id="175" w:name="_Toc309996270"/>
            <w:r>
              <w:rPr>
                <w:rFonts w:hint="eastAsia" w:ascii="宋体" w:hAnsi="宋体" w:eastAsia="宋体" w:cs="宋体"/>
                <w:color w:val="auto"/>
                <w:sz w:val="22"/>
                <w:szCs w:val="22"/>
                <w:highlight w:val="none"/>
              </w:rPr>
              <w:t>2．经历</w:t>
            </w:r>
            <w:bookmarkEnd w:id="174"/>
            <w:bookmarkEnd w:id="175"/>
          </w:p>
        </w:tc>
      </w:tr>
      <w:tr w14:paraId="33C6853D">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3E11310E">
            <w:pPr>
              <w:pStyle w:val="67"/>
              <w:shd w:val="clear"/>
              <w:jc w:val="center"/>
              <w:rPr>
                <w:rFonts w:hint="eastAsia" w:ascii="宋体" w:hAnsi="宋体" w:eastAsia="宋体" w:cs="宋体"/>
                <w:color w:val="auto"/>
                <w:sz w:val="22"/>
                <w:szCs w:val="22"/>
                <w:highlight w:val="none"/>
              </w:rPr>
            </w:pPr>
            <w:bookmarkStart w:id="176" w:name="_Toc309048460"/>
            <w:bookmarkStart w:id="177" w:name="_Toc309996271"/>
            <w:r>
              <w:rPr>
                <w:rFonts w:hint="eastAsia" w:ascii="宋体" w:hAnsi="宋体" w:eastAsia="宋体" w:cs="宋体"/>
                <w:color w:val="auto"/>
                <w:sz w:val="22"/>
                <w:szCs w:val="22"/>
                <w:highlight w:val="none"/>
              </w:rPr>
              <w:t>时间</w:t>
            </w:r>
            <w:bookmarkEnd w:id="176"/>
            <w:bookmarkEnd w:id="177"/>
          </w:p>
        </w:tc>
        <w:tc>
          <w:tcPr>
            <w:tcW w:w="4834" w:type="dxa"/>
            <w:gridSpan w:val="6"/>
            <w:tcBorders>
              <w:top w:val="single" w:color="000000" w:sz="6" w:space="0"/>
              <w:left w:val="single" w:color="000000" w:sz="4" w:space="0"/>
              <w:bottom w:val="single" w:color="000000" w:sz="6" w:space="0"/>
              <w:right w:val="single" w:color="000000" w:sz="4" w:space="0"/>
            </w:tcBorders>
            <w:vAlign w:val="center"/>
          </w:tcPr>
          <w:p w14:paraId="3493BAC2">
            <w:pPr>
              <w:pStyle w:val="67"/>
              <w:shd w:val="clear"/>
              <w:jc w:val="center"/>
              <w:rPr>
                <w:rFonts w:hint="eastAsia" w:ascii="宋体" w:hAnsi="宋体" w:eastAsia="宋体" w:cs="宋体"/>
                <w:color w:val="auto"/>
                <w:sz w:val="22"/>
                <w:szCs w:val="22"/>
                <w:highlight w:val="none"/>
              </w:rPr>
            </w:pPr>
            <w:bookmarkStart w:id="178" w:name="_Toc309048461"/>
            <w:bookmarkStart w:id="179" w:name="_Toc309996272"/>
            <w:r>
              <w:rPr>
                <w:rFonts w:hint="eastAsia" w:ascii="宋体" w:hAnsi="宋体" w:eastAsia="宋体" w:cs="宋体"/>
                <w:color w:val="auto"/>
                <w:sz w:val="22"/>
                <w:szCs w:val="22"/>
                <w:highlight w:val="none"/>
              </w:rPr>
              <w:t>负责过的主要项目（类型和金额）</w:t>
            </w:r>
            <w:bookmarkEnd w:id="178"/>
            <w:bookmarkEnd w:id="179"/>
          </w:p>
        </w:tc>
        <w:tc>
          <w:tcPr>
            <w:tcW w:w="1652" w:type="dxa"/>
            <w:gridSpan w:val="3"/>
            <w:tcBorders>
              <w:top w:val="single" w:color="000000" w:sz="6" w:space="0"/>
              <w:left w:val="single" w:color="000000" w:sz="4" w:space="0"/>
              <w:bottom w:val="single" w:color="000000" w:sz="6" w:space="0"/>
              <w:right w:val="single" w:color="000000" w:sz="4" w:space="0"/>
            </w:tcBorders>
            <w:vAlign w:val="center"/>
          </w:tcPr>
          <w:p w14:paraId="227061B2">
            <w:pPr>
              <w:pStyle w:val="67"/>
              <w:shd w:val="clear"/>
              <w:jc w:val="center"/>
              <w:rPr>
                <w:rFonts w:hint="eastAsia" w:ascii="宋体" w:hAnsi="宋体" w:eastAsia="宋体" w:cs="宋体"/>
                <w:color w:val="auto"/>
                <w:sz w:val="22"/>
                <w:szCs w:val="22"/>
                <w:highlight w:val="none"/>
              </w:rPr>
            </w:pPr>
            <w:bookmarkStart w:id="180" w:name="_Toc309048462"/>
            <w:bookmarkStart w:id="181" w:name="_Toc309996273"/>
            <w:r>
              <w:rPr>
                <w:rFonts w:hint="eastAsia" w:ascii="宋体" w:hAnsi="宋体" w:eastAsia="宋体" w:cs="宋体"/>
                <w:color w:val="auto"/>
                <w:sz w:val="22"/>
                <w:szCs w:val="22"/>
                <w:highlight w:val="none"/>
              </w:rPr>
              <w:t>该项目中任职</w:t>
            </w:r>
            <w:bookmarkEnd w:id="180"/>
            <w:bookmarkEnd w:id="181"/>
          </w:p>
        </w:tc>
        <w:tc>
          <w:tcPr>
            <w:tcW w:w="2588" w:type="dxa"/>
            <w:gridSpan w:val="2"/>
            <w:tcBorders>
              <w:top w:val="single" w:color="000000" w:sz="6" w:space="0"/>
              <w:left w:val="single" w:color="000000" w:sz="4" w:space="0"/>
              <w:bottom w:val="single" w:color="000000" w:sz="6" w:space="0"/>
              <w:right w:val="single" w:color="000000" w:sz="12" w:space="0"/>
            </w:tcBorders>
            <w:vAlign w:val="center"/>
          </w:tcPr>
          <w:p w14:paraId="4C60AC80">
            <w:pPr>
              <w:pStyle w:val="67"/>
              <w:shd w:val="clear"/>
              <w:jc w:val="center"/>
              <w:rPr>
                <w:rFonts w:hint="eastAsia" w:ascii="宋体" w:hAnsi="宋体" w:eastAsia="宋体" w:cs="宋体"/>
                <w:color w:val="auto"/>
                <w:sz w:val="22"/>
                <w:szCs w:val="22"/>
                <w:highlight w:val="none"/>
              </w:rPr>
            </w:pPr>
            <w:bookmarkStart w:id="182" w:name="_Toc309996274"/>
            <w:bookmarkStart w:id="183" w:name="_Toc309048463"/>
            <w:r>
              <w:rPr>
                <w:rFonts w:hint="eastAsia" w:ascii="宋体" w:hAnsi="宋体" w:eastAsia="宋体" w:cs="宋体"/>
                <w:color w:val="auto"/>
                <w:sz w:val="22"/>
                <w:szCs w:val="22"/>
                <w:highlight w:val="none"/>
              </w:rPr>
              <w:t>业主单位及联系电话</w:t>
            </w:r>
            <w:bookmarkEnd w:id="182"/>
            <w:bookmarkEnd w:id="183"/>
          </w:p>
        </w:tc>
      </w:tr>
      <w:tr w14:paraId="0441806E">
        <w:tblPrEx>
          <w:tblCellMar>
            <w:top w:w="0" w:type="dxa"/>
            <w:left w:w="108" w:type="dxa"/>
            <w:bottom w:w="0" w:type="dxa"/>
            <w:right w:w="108" w:type="dxa"/>
          </w:tblCellMar>
        </w:tblPrEx>
        <w:trPr>
          <w:trHeight w:val="1349"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61F24DB9">
            <w:pPr>
              <w:pStyle w:val="67"/>
              <w:shd w:val="clear"/>
              <w:jc w:val="center"/>
              <w:rPr>
                <w:rFonts w:hint="eastAsia" w:ascii="宋体" w:hAnsi="宋体" w:eastAsia="宋体" w:cs="宋体"/>
                <w:color w:val="auto"/>
                <w:sz w:val="22"/>
                <w:szCs w:val="22"/>
                <w:highlight w:val="none"/>
              </w:rPr>
            </w:pPr>
          </w:p>
        </w:tc>
        <w:tc>
          <w:tcPr>
            <w:tcW w:w="4834" w:type="dxa"/>
            <w:gridSpan w:val="6"/>
            <w:tcBorders>
              <w:top w:val="single" w:color="000000" w:sz="6" w:space="0"/>
              <w:left w:val="single" w:color="000000" w:sz="4" w:space="0"/>
              <w:bottom w:val="single" w:color="000000" w:sz="6" w:space="0"/>
              <w:right w:val="single" w:color="000000" w:sz="4" w:space="0"/>
            </w:tcBorders>
            <w:vAlign w:val="center"/>
          </w:tcPr>
          <w:p w14:paraId="279CA6DF">
            <w:pPr>
              <w:pStyle w:val="67"/>
              <w:shd w:val="clear"/>
              <w:jc w:val="center"/>
              <w:rPr>
                <w:rFonts w:hint="eastAsia" w:ascii="宋体" w:hAnsi="宋体" w:eastAsia="宋体" w:cs="宋体"/>
                <w:color w:val="auto"/>
                <w:sz w:val="22"/>
                <w:szCs w:val="22"/>
                <w:highlight w:val="none"/>
              </w:rPr>
            </w:pPr>
          </w:p>
        </w:tc>
        <w:tc>
          <w:tcPr>
            <w:tcW w:w="1652" w:type="dxa"/>
            <w:gridSpan w:val="3"/>
            <w:tcBorders>
              <w:top w:val="single" w:color="000000" w:sz="6" w:space="0"/>
              <w:left w:val="single" w:color="000000" w:sz="4" w:space="0"/>
              <w:bottom w:val="single" w:color="000000" w:sz="6" w:space="0"/>
              <w:right w:val="single" w:color="000000" w:sz="4" w:space="0"/>
            </w:tcBorders>
            <w:vAlign w:val="center"/>
          </w:tcPr>
          <w:p w14:paraId="3FBA8BBC">
            <w:pPr>
              <w:pStyle w:val="67"/>
              <w:shd w:val="clear"/>
              <w:jc w:val="center"/>
              <w:rPr>
                <w:rFonts w:hint="eastAsia" w:ascii="宋体" w:hAnsi="宋体" w:eastAsia="宋体" w:cs="宋体"/>
                <w:color w:val="auto"/>
                <w:sz w:val="22"/>
                <w:szCs w:val="22"/>
                <w:highlight w:val="none"/>
              </w:rPr>
            </w:pPr>
          </w:p>
        </w:tc>
        <w:tc>
          <w:tcPr>
            <w:tcW w:w="2588" w:type="dxa"/>
            <w:gridSpan w:val="2"/>
            <w:tcBorders>
              <w:top w:val="single" w:color="000000" w:sz="6" w:space="0"/>
              <w:left w:val="single" w:color="000000" w:sz="4" w:space="0"/>
              <w:bottom w:val="single" w:color="000000" w:sz="6" w:space="0"/>
              <w:right w:val="single" w:color="000000" w:sz="12" w:space="0"/>
            </w:tcBorders>
            <w:vAlign w:val="center"/>
          </w:tcPr>
          <w:p w14:paraId="728F7326">
            <w:pPr>
              <w:pStyle w:val="67"/>
              <w:shd w:val="clear"/>
              <w:jc w:val="center"/>
              <w:rPr>
                <w:rFonts w:hint="eastAsia" w:ascii="宋体" w:hAnsi="宋体" w:eastAsia="宋体" w:cs="宋体"/>
                <w:color w:val="auto"/>
                <w:sz w:val="22"/>
                <w:szCs w:val="22"/>
                <w:highlight w:val="none"/>
              </w:rPr>
            </w:pPr>
          </w:p>
        </w:tc>
      </w:tr>
      <w:tr w14:paraId="7B4BFC9E">
        <w:tblPrEx>
          <w:tblCellMar>
            <w:top w:w="0" w:type="dxa"/>
            <w:left w:w="108" w:type="dxa"/>
            <w:bottom w:w="0" w:type="dxa"/>
            <w:right w:w="108" w:type="dxa"/>
          </w:tblCellMar>
        </w:tblPrEx>
        <w:trPr>
          <w:trHeight w:val="513"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5FE8A698">
            <w:pPr>
              <w:pStyle w:val="67"/>
              <w:shd w:val="clear"/>
              <w:jc w:val="center"/>
              <w:rPr>
                <w:rFonts w:hint="eastAsia" w:ascii="宋体" w:hAnsi="宋体" w:eastAsia="宋体" w:cs="宋体"/>
                <w:color w:val="auto"/>
                <w:sz w:val="22"/>
                <w:szCs w:val="22"/>
                <w:highlight w:val="none"/>
              </w:rPr>
            </w:pPr>
            <w:bookmarkStart w:id="184" w:name="_Toc309048464"/>
            <w:bookmarkStart w:id="185" w:name="_Toc309996275"/>
            <w:r>
              <w:rPr>
                <w:rFonts w:hint="eastAsia" w:ascii="宋体" w:hAnsi="宋体" w:eastAsia="宋体" w:cs="宋体"/>
                <w:color w:val="auto"/>
                <w:sz w:val="22"/>
                <w:szCs w:val="22"/>
                <w:highlight w:val="none"/>
              </w:rPr>
              <w:t>3．获奖情况</w:t>
            </w:r>
            <w:bookmarkEnd w:id="184"/>
            <w:bookmarkEnd w:id="185"/>
          </w:p>
        </w:tc>
      </w:tr>
      <w:tr w14:paraId="52EB30EF">
        <w:tblPrEx>
          <w:tblCellMar>
            <w:top w:w="0" w:type="dxa"/>
            <w:left w:w="108" w:type="dxa"/>
            <w:bottom w:w="0" w:type="dxa"/>
            <w:right w:w="108" w:type="dxa"/>
          </w:tblCellMar>
        </w:tblPrEx>
        <w:trPr>
          <w:trHeight w:val="1397"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2D272CB7">
            <w:pPr>
              <w:pStyle w:val="67"/>
              <w:shd w:val="clear"/>
              <w:jc w:val="center"/>
              <w:rPr>
                <w:rFonts w:hint="eastAsia" w:ascii="宋体" w:hAnsi="宋体" w:eastAsia="宋体" w:cs="宋体"/>
                <w:color w:val="auto"/>
                <w:sz w:val="22"/>
                <w:szCs w:val="22"/>
                <w:highlight w:val="none"/>
              </w:rPr>
            </w:pPr>
          </w:p>
        </w:tc>
      </w:tr>
      <w:tr w14:paraId="45E0329F">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23C13377">
            <w:pPr>
              <w:pStyle w:val="67"/>
              <w:shd w:val="clear"/>
              <w:jc w:val="center"/>
              <w:rPr>
                <w:rFonts w:hint="eastAsia" w:ascii="宋体" w:hAnsi="宋体" w:eastAsia="宋体" w:cs="宋体"/>
                <w:color w:val="auto"/>
                <w:sz w:val="22"/>
                <w:szCs w:val="22"/>
                <w:highlight w:val="none"/>
              </w:rPr>
            </w:pPr>
            <w:bookmarkStart w:id="186" w:name="_Toc309996276"/>
            <w:bookmarkStart w:id="187" w:name="_Toc309048465"/>
            <w:r>
              <w:rPr>
                <w:rFonts w:hint="eastAsia" w:ascii="宋体" w:hAnsi="宋体" w:eastAsia="宋体" w:cs="宋体"/>
                <w:color w:val="auto"/>
                <w:sz w:val="22"/>
                <w:szCs w:val="22"/>
                <w:highlight w:val="none"/>
              </w:rPr>
              <w:t>4．目前承担的</w:t>
            </w:r>
            <w:bookmarkEnd w:id="186"/>
            <w:bookmarkEnd w:id="187"/>
            <w:r>
              <w:rPr>
                <w:rFonts w:hint="eastAsia" w:ascii="宋体" w:hAnsi="宋体" w:eastAsia="宋体" w:cs="宋体"/>
                <w:color w:val="auto"/>
                <w:sz w:val="22"/>
                <w:szCs w:val="22"/>
                <w:highlight w:val="none"/>
              </w:rPr>
              <w:t>项目</w:t>
            </w:r>
          </w:p>
        </w:tc>
      </w:tr>
      <w:tr w14:paraId="1B91440A">
        <w:tblPrEx>
          <w:tblCellMar>
            <w:top w:w="0" w:type="dxa"/>
            <w:left w:w="108" w:type="dxa"/>
            <w:bottom w:w="0" w:type="dxa"/>
            <w:right w:w="108" w:type="dxa"/>
          </w:tblCellMar>
        </w:tblPrEx>
        <w:trPr>
          <w:trHeight w:val="1459" w:hRule="atLeast"/>
          <w:jc w:val="center"/>
        </w:trPr>
        <w:tc>
          <w:tcPr>
            <w:tcW w:w="9854" w:type="dxa"/>
            <w:gridSpan w:val="12"/>
            <w:tcBorders>
              <w:top w:val="single" w:color="000000" w:sz="6" w:space="0"/>
              <w:left w:val="single" w:color="000000" w:sz="12" w:space="0"/>
              <w:bottom w:val="single" w:color="000000" w:sz="12" w:space="0"/>
              <w:right w:val="single" w:color="000000" w:sz="12" w:space="0"/>
            </w:tcBorders>
            <w:vAlign w:val="center"/>
          </w:tcPr>
          <w:p w14:paraId="4502E829">
            <w:pPr>
              <w:pStyle w:val="67"/>
              <w:shd w:val="clear"/>
              <w:jc w:val="center"/>
              <w:rPr>
                <w:rFonts w:hint="eastAsia" w:ascii="宋体" w:hAnsi="宋体" w:eastAsia="宋体" w:cs="宋体"/>
                <w:color w:val="auto"/>
                <w:sz w:val="22"/>
                <w:szCs w:val="22"/>
                <w:highlight w:val="none"/>
              </w:rPr>
            </w:pPr>
          </w:p>
        </w:tc>
      </w:tr>
    </w:tbl>
    <w:p w14:paraId="2EEBF0A0">
      <w:pPr>
        <w:shd w:val="clear"/>
        <w:spacing w:line="380" w:lineRule="exact"/>
        <w:rPr>
          <w:rFonts w:hint="eastAsia" w:ascii="宋体" w:hAnsi="宋体" w:eastAsia="宋体" w:cs="宋体"/>
          <w:color w:val="auto"/>
          <w:kern w:val="0"/>
          <w:sz w:val="22"/>
          <w:szCs w:val="22"/>
          <w:highlight w:val="none"/>
        </w:rPr>
      </w:pPr>
      <w:r>
        <w:rPr>
          <w:rFonts w:hint="eastAsia" w:ascii="宋体" w:hAnsi="宋体" w:eastAsia="宋体" w:cs="宋体"/>
          <w:b/>
          <w:color w:val="auto"/>
          <w:sz w:val="22"/>
          <w:szCs w:val="22"/>
          <w:highlight w:val="none"/>
        </w:rPr>
        <w:t>注：供应商根据技术资信评分细则提供对应的证明材料，否则评分时不予认可。</w:t>
      </w:r>
    </w:p>
    <w:p w14:paraId="2C7AFE6C">
      <w:pPr>
        <w:shd w:val="clear"/>
        <w:spacing w:line="360" w:lineRule="exact"/>
        <w:rPr>
          <w:rFonts w:hint="eastAsia" w:ascii="宋体" w:hAnsi="宋体" w:eastAsia="宋体" w:cs="宋体"/>
          <w:b/>
          <w:bCs/>
          <w:color w:val="auto"/>
          <w:sz w:val="22"/>
          <w:szCs w:val="22"/>
          <w:highlight w:val="none"/>
        </w:rPr>
      </w:pPr>
    </w:p>
    <w:p w14:paraId="057F35FA">
      <w:pPr>
        <w:pStyle w:val="15"/>
        <w:widowControl w:val="0"/>
        <w:shd w:val="clear"/>
        <w:spacing w:line="440" w:lineRule="exact"/>
        <w:ind w:left="987" w:leftChars="313" w:hanging="330" w:hangingChars="150"/>
        <w:rPr>
          <w:rFonts w:hint="eastAsia" w:ascii="宋体" w:hAnsi="宋体" w:eastAsia="宋体" w:cs="宋体"/>
          <w:color w:val="auto"/>
          <w:sz w:val="22"/>
          <w:highlight w:val="none"/>
        </w:rPr>
      </w:pPr>
    </w:p>
    <w:p w14:paraId="7C4668E5">
      <w:pPr>
        <w:pStyle w:val="15"/>
        <w:widowControl w:val="0"/>
        <w:shd w:val="clear"/>
        <w:spacing w:line="440" w:lineRule="exact"/>
        <w:ind w:left="987" w:leftChars="313" w:hanging="330" w:hangingChars="150"/>
        <w:rPr>
          <w:rFonts w:hint="eastAsia" w:ascii="宋体" w:hAnsi="宋体" w:eastAsia="宋体" w:cs="宋体"/>
          <w:color w:val="auto"/>
          <w:sz w:val="22"/>
          <w:highlight w:val="none"/>
        </w:rPr>
      </w:pPr>
    </w:p>
    <w:p w14:paraId="3433186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273CAB0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D7AAD98">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6628FF0">
      <w:pPr>
        <w:shd w:val="clear"/>
        <w:spacing w:line="380" w:lineRule="exact"/>
        <w:jc w:val="center"/>
        <w:rPr>
          <w:rFonts w:hint="eastAsia" w:ascii="宋体" w:hAnsi="宋体" w:eastAsia="宋体" w:cs="宋体"/>
          <w:b/>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color w:val="auto"/>
          <w:sz w:val="28"/>
          <w:szCs w:val="28"/>
          <w:highlight w:val="none"/>
        </w:rPr>
        <w:t>（2）项目团队人员配置一览表</w:t>
      </w:r>
    </w:p>
    <w:p w14:paraId="4E38BD5B">
      <w:pPr>
        <w:pStyle w:val="82"/>
        <w:shd w:val="clear"/>
        <w:rPr>
          <w:rFonts w:hint="eastAsia" w:ascii="宋体" w:hAnsi="宋体" w:eastAsia="宋体" w:cs="宋体"/>
          <w:color w:val="auto"/>
          <w:highlight w:val="none"/>
        </w:rPr>
      </w:pPr>
      <w:r>
        <w:rPr>
          <w:rFonts w:hint="eastAsia" w:ascii="宋体" w:hAnsi="宋体" w:eastAsia="宋体" w:cs="宋体"/>
          <w:b/>
          <w:bCs/>
          <w:color w:val="auto"/>
          <w:sz w:val="22"/>
          <w:szCs w:val="22"/>
          <w:highlight w:val="none"/>
        </w:rPr>
        <w:t>项目名称：                                          项目编号：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184C6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tcBorders>
              <w:top w:val="single" w:color="auto" w:sz="12" w:space="0"/>
            </w:tcBorders>
            <w:vAlign w:val="center"/>
          </w:tcPr>
          <w:p w14:paraId="71C53DB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58" w:type="dxa"/>
            <w:tcBorders>
              <w:top w:val="single" w:color="auto" w:sz="12" w:space="0"/>
            </w:tcBorders>
            <w:vAlign w:val="center"/>
          </w:tcPr>
          <w:p w14:paraId="36DDD11A">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58" w:type="dxa"/>
            <w:tcBorders>
              <w:top w:val="single" w:color="auto" w:sz="12" w:space="0"/>
            </w:tcBorders>
            <w:vAlign w:val="center"/>
          </w:tcPr>
          <w:p w14:paraId="76ABA5B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767" w:type="dxa"/>
            <w:tcBorders>
              <w:top w:val="single" w:color="auto" w:sz="12" w:space="0"/>
            </w:tcBorders>
            <w:vAlign w:val="center"/>
          </w:tcPr>
          <w:p w14:paraId="3200499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767" w:type="dxa"/>
            <w:tcBorders>
              <w:top w:val="single" w:color="auto" w:sz="12" w:space="0"/>
            </w:tcBorders>
            <w:vAlign w:val="center"/>
          </w:tcPr>
          <w:p w14:paraId="501350D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1340" w:type="dxa"/>
            <w:tcBorders>
              <w:top w:val="single" w:color="auto" w:sz="12" w:space="0"/>
            </w:tcBorders>
            <w:vAlign w:val="center"/>
          </w:tcPr>
          <w:p w14:paraId="10100F30">
            <w:pPr>
              <w:shd w:val="clear"/>
              <w:spacing w:line="2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职称/职务</w:t>
            </w:r>
          </w:p>
        </w:tc>
        <w:tc>
          <w:tcPr>
            <w:tcW w:w="1326" w:type="dxa"/>
            <w:tcBorders>
              <w:top w:val="single" w:color="auto" w:sz="12" w:space="0"/>
            </w:tcBorders>
            <w:vAlign w:val="center"/>
          </w:tcPr>
          <w:p w14:paraId="53234CD3">
            <w:pPr>
              <w:shd w:val="clear"/>
              <w:spacing w:line="2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本项目中的岗位</w:t>
            </w:r>
          </w:p>
        </w:tc>
        <w:tc>
          <w:tcPr>
            <w:tcW w:w="1825" w:type="dxa"/>
            <w:tcBorders>
              <w:top w:val="single" w:color="auto" w:sz="12" w:space="0"/>
            </w:tcBorders>
            <w:vAlign w:val="center"/>
          </w:tcPr>
          <w:p w14:paraId="0C4710D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从事专业年限</w:t>
            </w:r>
          </w:p>
        </w:tc>
        <w:tc>
          <w:tcPr>
            <w:tcW w:w="1147" w:type="dxa"/>
            <w:tcBorders>
              <w:top w:val="single" w:color="auto" w:sz="12" w:space="0"/>
            </w:tcBorders>
            <w:vAlign w:val="center"/>
          </w:tcPr>
          <w:p w14:paraId="1D5D1DC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C163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45D1B820">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1991827D">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7E47A73C">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DE7A0FC">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A17A482">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580EFB92">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51D602E7">
            <w:pPr>
              <w:shd w:val="clear"/>
              <w:spacing w:line="360" w:lineRule="auto"/>
              <w:jc w:val="center"/>
              <w:rPr>
                <w:rFonts w:hint="eastAsia" w:ascii="宋体" w:hAnsi="宋体" w:eastAsia="宋体" w:cs="宋体"/>
                <w:color w:val="auto"/>
                <w:sz w:val="22"/>
                <w:szCs w:val="22"/>
                <w:highlight w:val="none"/>
              </w:rPr>
            </w:pPr>
          </w:p>
        </w:tc>
        <w:tc>
          <w:tcPr>
            <w:tcW w:w="1825" w:type="dxa"/>
          </w:tcPr>
          <w:p w14:paraId="1A3A4338">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48317304">
            <w:pPr>
              <w:shd w:val="clear"/>
              <w:spacing w:line="360" w:lineRule="auto"/>
              <w:jc w:val="center"/>
              <w:rPr>
                <w:rFonts w:hint="eastAsia" w:ascii="宋体" w:hAnsi="宋体" w:eastAsia="宋体" w:cs="宋体"/>
                <w:color w:val="auto"/>
                <w:sz w:val="22"/>
                <w:szCs w:val="22"/>
                <w:highlight w:val="none"/>
              </w:rPr>
            </w:pPr>
          </w:p>
        </w:tc>
      </w:tr>
      <w:tr w14:paraId="1408E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6B8AC3A2">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4580010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5AB562C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7B9C682D">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A558367">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7D9EE666">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53F9CB0B">
            <w:pPr>
              <w:shd w:val="clear"/>
              <w:spacing w:line="360" w:lineRule="auto"/>
              <w:jc w:val="center"/>
              <w:rPr>
                <w:rFonts w:hint="eastAsia" w:ascii="宋体" w:hAnsi="宋体" w:eastAsia="宋体" w:cs="宋体"/>
                <w:color w:val="auto"/>
                <w:sz w:val="22"/>
                <w:szCs w:val="22"/>
                <w:highlight w:val="none"/>
              </w:rPr>
            </w:pPr>
          </w:p>
        </w:tc>
        <w:tc>
          <w:tcPr>
            <w:tcW w:w="1825" w:type="dxa"/>
          </w:tcPr>
          <w:p w14:paraId="30EF45B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6652DD84">
            <w:pPr>
              <w:shd w:val="clear"/>
              <w:spacing w:line="360" w:lineRule="auto"/>
              <w:jc w:val="center"/>
              <w:rPr>
                <w:rFonts w:hint="eastAsia" w:ascii="宋体" w:hAnsi="宋体" w:eastAsia="宋体" w:cs="宋体"/>
                <w:color w:val="auto"/>
                <w:sz w:val="22"/>
                <w:szCs w:val="22"/>
                <w:highlight w:val="none"/>
              </w:rPr>
            </w:pPr>
          </w:p>
        </w:tc>
      </w:tr>
      <w:tr w14:paraId="1DED5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35BF786F">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D7C1B5C">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6D325483">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EE1195B">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C9683F6">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15514E49">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6B34F8CB">
            <w:pPr>
              <w:shd w:val="clear"/>
              <w:spacing w:line="360" w:lineRule="auto"/>
              <w:jc w:val="center"/>
              <w:rPr>
                <w:rFonts w:hint="eastAsia" w:ascii="宋体" w:hAnsi="宋体" w:eastAsia="宋体" w:cs="宋体"/>
                <w:color w:val="auto"/>
                <w:sz w:val="22"/>
                <w:szCs w:val="22"/>
                <w:highlight w:val="none"/>
              </w:rPr>
            </w:pPr>
          </w:p>
        </w:tc>
        <w:tc>
          <w:tcPr>
            <w:tcW w:w="1825" w:type="dxa"/>
          </w:tcPr>
          <w:p w14:paraId="6A397F60">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3AD87AD7">
            <w:pPr>
              <w:shd w:val="clear"/>
              <w:spacing w:line="360" w:lineRule="auto"/>
              <w:jc w:val="center"/>
              <w:rPr>
                <w:rFonts w:hint="eastAsia" w:ascii="宋体" w:hAnsi="宋体" w:eastAsia="宋体" w:cs="宋体"/>
                <w:color w:val="auto"/>
                <w:sz w:val="22"/>
                <w:szCs w:val="22"/>
                <w:highlight w:val="none"/>
              </w:rPr>
            </w:pPr>
          </w:p>
        </w:tc>
      </w:tr>
      <w:tr w14:paraId="526D4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347C8AFA">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8EC7B9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134D9FA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3F3918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223C908">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41E40695">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63DD5154">
            <w:pPr>
              <w:shd w:val="clear"/>
              <w:spacing w:line="360" w:lineRule="auto"/>
              <w:jc w:val="center"/>
              <w:rPr>
                <w:rFonts w:hint="eastAsia" w:ascii="宋体" w:hAnsi="宋体" w:eastAsia="宋体" w:cs="宋体"/>
                <w:color w:val="auto"/>
                <w:sz w:val="22"/>
                <w:szCs w:val="22"/>
                <w:highlight w:val="none"/>
              </w:rPr>
            </w:pPr>
          </w:p>
        </w:tc>
        <w:tc>
          <w:tcPr>
            <w:tcW w:w="1825" w:type="dxa"/>
          </w:tcPr>
          <w:p w14:paraId="3C85DD21">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76811E1E">
            <w:pPr>
              <w:shd w:val="clear"/>
              <w:spacing w:line="360" w:lineRule="auto"/>
              <w:jc w:val="center"/>
              <w:rPr>
                <w:rFonts w:hint="eastAsia" w:ascii="宋体" w:hAnsi="宋体" w:eastAsia="宋体" w:cs="宋体"/>
                <w:color w:val="auto"/>
                <w:sz w:val="22"/>
                <w:szCs w:val="22"/>
                <w:highlight w:val="none"/>
              </w:rPr>
            </w:pPr>
          </w:p>
        </w:tc>
      </w:tr>
      <w:tr w14:paraId="1C08D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45D5B5C5">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2AB1CE3">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697FED87">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6BC855AB">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7F8B6419">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218C1157">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1581ECA2">
            <w:pPr>
              <w:shd w:val="clear"/>
              <w:spacing w:line="360" w:lineRule="auto"/>
              <w:jc w:val="center"/>
              <w:rPr>
                <w:rFonts w:hint="eastAsia" w:ascii="宋体" w:hAnsi="宋体" w:eastAsia="宋体" w:cs="宋体"/>
                <w:color w:val="auto"/>
                <w:sz w:val="22"/>
                <w:szCs w:val="22"/>
                <w:highlight w:val="none"/>
              </w:rPr>
            </w:pPr>
          </w:p>
        </w:tc>
        <w:tc>
          <w:tcPr>
            <w:tcW w:w="1825" w:type="dxa"/>
          </w:tcPr>
          <w:p w14:paraId="345FB4E8">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56ABE8A5">
            <w:pPr>
              <w:shd w:val="clear"/>
              <w:spacing w:line="360" w:lineRule="auto"/>
              <w:jc w:val="center"/>
              <w:rPr>
                <w:rFonts w:hint="eastAsia" w:ascii="宋体" w:hAnsi="宋体" w:eastAsia="宋体" w:cs="宋体"/>
                <w:color w:val="auto"/>
                <w:sz w:val="22"/>
                <w:szCs w:val="22"/>
                <w:highlight w:val="none"/>
              </w:rPr>
            </w:pPr>
          </w:p>
        </w:tc>
      </w:tr>
      <w:tr w14:paraId="07A67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1B0F776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B63F94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55E798D">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469D384">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AE438C2">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60624118">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34680EA9">
            <w:pPr>
              <w:shd w:val="clear"/>
              <w:spacing w:line="360" w:lineRule="auto"/>
              <w:jc w:val="center"/>
              <w:rPr>
                <w:rFonts w:hint="eastAsia" w:ascii="宋体" w:hAnsi="宋体" w:eastAsia="宋体" w:cs="宋体"/>
                <w:color w:val="auto"/>
                <w:sz w:val="22"/>
                <w:szCs w:val="22"/>
                <w:highlight w:val="none"/>
              </w:rPr>
            </w:pPr>
          </w:p>
        </w:tc>
        <w:tc>
          <w:tcPr>
            <w:tcW w:w="1825" w:type="dxa"/>
          </w:tcPr>
          <w:p w14:paraId="1707342D">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0A696078">
            <w:pPr>
              <w:shd w:val="clear"/>
              <w:spacing w:line="360" w:lineRule="auto"/>
              <w:jc w:val="center"/>
              <w:rPr>
                <w:rFonts w:hint="eastAsia" w:ascii="宋体" w:hAnsi="宋体" w:eastAsia="宋体" w:cs="宋体"/>
                <w:color w:val="auto"/>
                <w:sz w:val="22"/>
                <w:szCs w:val="22"/>
                <w:highlight w:val="none"/>
              </w:rPr>
            </w:pPr>
          </w:p>
        </w:tc>
      </w:tr>
      <w:tr w14:paraId="04F32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19617305">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4A863D8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1AF2BB5C">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6D0A7A0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45F96FC9">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0D423FE0">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41991D49">
            <w:pPr>
              <w:shd w:val="clear"/>
              <w:spacing w:line="360" w:lineRule="auto"/>
              <w:jc w:val="center"/>
              <w:rPr>
                <w:rFonts w:hint="eastAsia" w:ascii="宋体" w:hAnsi="宋体" w:eastAsia="宋体" w:cs="宋体"/>
                <w:color w:val="auto"/>
                <w:sz w:val="22"/>
                <w:szCs w:val="22"/>
                <w:highlight w:val="none"/>
              </w:rPr>
            </w:pPr>
          </w:p>
        </w:tc>
        <w:tc>
          <w:tcPr>
            <w:tcW w:w="1825" w:type="dxa"/>
          </w:tcPr>
          <w:p w14:paraId="2A055A1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2A5E7675">
            <w:pPr>
              <w:shd w:val="clear"/>
              <w:spacing w:line="360" w:lineRule="auto"/>
              <w:jc w:val="center"/>
              <w:rPr>
                <w:rFonts w:hint="eastAsia" w:ascii="宋体" w:hAnsi="宋体" w:eastAsia="宋体" w:cs="宋体"/>
                <w:color w:val="auto"/>
                <w:sz w:val="22"/>
                <w:szCs w:val="22"/>
                <w:highlight w:val="none"/>
              </w:rPr>
            </w:pPr>
          </w:p>
        </w:tc>
      </w:tr>
      <w:tr w14:paraId="6E9FB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7F0FEEA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1431805">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5FD36D5">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7E2D5A00">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CE29CED">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0CAAEB5F">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141442A1">
            <w:pPr>
              <w:shd w:val="clear"/>
              <w:spacing w:line="360" w:lineRule="auto"/>
              <w:jc w:val="center"/>
              <w:rPr>
                <w:rFonts w:hint="eastAsia" w:ascii="宋体" w:hAnsi="宋体" w:eastAsia="宋体" w:cs="宋体"/>
                <w:color w:val="auto"/>
                <w:sz w:val="22"/>
                <w:szCs w:val="22"/>
                <w:highlight w:val="none"/>
              </w:rPr>
            </w:pPr>
          </w:p>
        </w:tc>
        <w:tc>
          <w:tcPr>
            <w:tcW w:w="1825" w:type="dxa"/>
          </w:tcPr>
          <w:p w14:paraId="684CC6E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64781A8F">
            <w:pPr>
              <w:shd w:val="clear"/>
              <w:spacing w:line="360" w:lineRule="auto"/>
              <w:jc w:val="center"/>
              <w:rPr>
                <w:rFonts w:hint="eastAsia" w:ascii="宋体" w:hAnsi="宋体" w:eastAsia="宋体" w:cs="宋体"/>
                <w:color w:val="auto"/>
                <w:sz w:val="22"/>
                <w:szCs w:val="22"/>
                <w:highlight w:val="none"/>
              </w:rPr>
            </w:pPr>
          </w:p>
        </w:tc>
      </w:tr>
      <w:tr w14:paraId="75029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125C65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137C1AB">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730D7577">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66605259">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8440902">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051A620E">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60305BC5">
            <w:pPr>
              <w:shd w:val="clear"/>
              <w:spacing w:line="360" w:lineRule="auto"/>
              <w:jc w:val="center"/>
              <w:rPr>
                <w:rFonts w:hint="eastAsia" w:ascii="宋体" w:hAnsi="宋体" w:eastAsia="宋体" w:cs="宋体"/>
                <w:color w:val="auto"/>
                <w:sz w:val="22"/>
                <w:szCs w:val="22"/>
                <w:highlight w:val="none"/>
              </w:rPr>
            </w:pPr>
          </w:p>
        </w:tc>
        <w:tc>
          <w:tcPr>
            <w:tcW w:w="1825" w:type="dxa"/>
          </w:tcPr>
          <w:p w14:paraId="3A3D869C">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6561D3AE">
            <w:pPr>
              <w:shd w:val="clear"/>
              <w:spacing w:line="360" w:lineRule="auto"/>
              <w:jc w:val="center"/>
              <w:rPr>
                <w:rFonts w:hint="eastAsia" w:ascii="宋体" w:hAnsi="宋体" w:eastAsia="宋体" w:cs="宋体"/>
                <w:color w:val="auto"/>
                <w:sz w:val="22"/>
                <w:szCs w:val="22"/>
                <w:highlight w:val="none"/>
              </w:rPr>
            </w:pPr>
          </w:p>
        </w:tc>
      </w:tr>
      <w:tr w14:paraId="66D17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0A2D521">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1D705D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108D5F0">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B0437AF">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BD8F773">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3D99C1DB">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4EAEC88C">
            <w:pPr>
              <w:shd w:val="clear"/>
              <w:spacing w:line="360" w:lineRule="auto"/>
              <w:jc w:val="center"/>
              <w:rPr>
                <w:rFonts w:hint="eastAsia" w:ascii="宋体" w:hAnsi="宋体" w:eastAsia="宋体" w:cs="宋体"/>
                <w:color w:val="auto"/>
                <w:sz w:val="22"/>
                <w:szCs w:val="22"/>
                <w:highlight w:val="none"/>
              </w:rPr>
            </w:pPr>
          </w:p>
        </w:tc>
        <w:tc>
          <w:tcPr>
            <w:tcW w:w="1825" w:type="dxa"/>
          </w:tcPr>
          <w:p w14:paraId="22508278">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05AA06BF">
            <w:pPr>
              <w:shd w:val="clear"/>
              <w:spacing w:line="360" w:lineRule="auto"/>
              <w:jc w:val="center"/>
              <w:rPr>
                <w:rFonts w:hint="eastAsia" w:ascii="宋体" w:hAnsi="宋体" w:eastAsia="宋体" w:cs="宋体"/>
                <w:color w:val="auto"/>
                <w:sz w:val="22"/>
                <w:szCs w:val="22"/>
                <w:highlight w:val="none"/>
              </w:rPr>
            </w:pPr>
          </w:p>
        </w:tc>
      </w:tr>
      <w:tr w14:paraId="30058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CA8A2B6">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C76E93F">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8DEFA84">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D3D719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93CA82C">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470C576E">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3F8300AF">
            <w:pPr>
              <w:shd w:val="clear"/>
              <w:spacing w:line="360" w:lineRule="auto"/>
              <w:jc w:val="center"/>
              <w:rPr>
                <w:rFonts w:hint="eastAsia" w:ascii="宋体" w:hAnsi="宋体" w:eastAsia="宋体" w:cs="宋体"/>
                <w:color w:val="auto"/>
                <w:sz w:val="22"/>
                <w:szCs w:val="22"/>
                <w:highlight w:val="none"/>
              </w:rPr>
            </w:pPr>
          </w:p>
        </w:tc>
        <w:tc>
          <w:tcPr>
            <w:tcW w:w="1825" w:type="dxa"/>
          </w:tcPr>
          <w:p w14:paraId="1FBE1EB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5BADA7A6">
            <w:pPr>
              <w:shd w:val="clear"/>
              <w:spacing w:line="360" w:lineRule="auto"/>
              <w:jc w:val="center"/>
              <w:rPr>
                <w:rFonts w:hint="eastAsia" w:ascii="宋体" w:hAnsi="宋体" w:eastAsia="宋体" w:cs="宋体"/>
                <w:color w:val="auto"/>
                <w:sz w:val="22"/>
                <w:szCs w:val="22"/>
                <w:highlight w:val="none"/>
              </w:rPr>
            </w:pPr>
          </w:p>
        </w:tc>
      </w:tr>
      <w:tr w14:paraId="57BC4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5E6FBB49">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7F70D6F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6F33D03">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C7864F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1C75A5D">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27E25F74">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3274AB6D">
            <w:pPr>
              <w:shd w:val="clear"/>
              <w:spacing w:line="360" w:lineRule="auto"/>
              <w:jc w:val="center"/>
              <w:rPr>
                <w:rFonts w:hint="eastAsia" w:ascii="宋体" w:hAnsi="宋体" w:eastAsia="宋体" w:cs="宋体"/>
                <w:color w:val="auto"/>
                <w:sz w:val="22"/>
                <w:szCs w:val="22"/>
                <w:highlight w:val="none"/>
              </w:rPr>
            </w:pPr>
          </w:p>
        </w:tc>
        <w:tc>
          <w:tcPr>
            <w:tcW w:w="1825" w:type="dxa"/>
          </w:tcPr>
          <w:p w14:paraId="40E1369C">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1AF8D97D">
            <w:pPr>
              <w:shd w:val="clear"/>
              <w:spacing w:line="360" w:lineRule="auto"/>
              <w:jc w:val="center"/>
              <w:rPr>
                <w:rFonts w:hint="eastAsia" w:ascii="宋体" w:hAnsi="宋体" w:eastAsia="宋体" w:cs="宋体"/>
                <w:color w:val="auto"/>
                <w:sz w:val="22"/>
                <w:szCs w:val="22"/>
                <w:highlight w:val="none"/>
              </w:rPr>
            </w:pPr>
          </w:p>
        </w:tc>
      </w:tr>
      <w:tr w14:paraId="0F61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6D5FA34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908E0CC">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4A4B685">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DFADFF0">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0C6DC8F1">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6AC2755A">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411CF98D">
            <w:pPr>
              <w:shd w:val="clear"/>
              <w:spacing w:line="360" w:lineRule="auto"/>
              <w:jc w:val="center"/>
              <w:rPr>
                <w:rFonts w:hint="eastAsia" w:ascii="宋体" w:hAnsi="宋体" w:eastAsia="宋体" w:cs="宋体"/>
                <w:color w:val="auto"/>
                <w:sz w:val="22"/>
                <w:szCs w:val="22"/>
                <w:highlight w:val="none"/>
              </w:rPr>
            </w:pPr>
          </w:p>
        </w:tc>
        <w:tc>
          <w:tcPr>
            <w:tcW w:w="1825" w:type="dxa"/>
          </w:tcPr>
          <w:p w14:paraId="0F9E79B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4DB0B6CD">
            <w:pPr>
              <w:shd w:val="clear"/>
              <w:spacing w:line="360" w:lineRule="auto"/>
              <w:jc w:val="center"/>
              <w:rPr>
                <w:rFonts w:hint="eastAsia" w:ascii="宋体" w:hAnsi="宋体" w:eastAsia="宋体" w:cs="宋体"/>
                <w:color w:val="auto"/>
                <w:sz w:val="22"/>
                <w:szCs w:val="22"/>
                <w:highlight w:val="none"/>
              </w:rPr>
            </w:pPr>
          </w:p>
        </w:tc>
      </w:tr>
      <w:tr w14:paraId="506B2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bottom w:val="single" w:color="auto" w:sz="12" w:space="0"/>
            </w:tcBorders>
            <w:vAlign w:val="center"/>
          </w:tcPr>
          <w:p w14:paraId="32765612">
            <w:pPr>
              <w:shd w:val="clear"/>
              <w:spacing w:line="360" w:lineRule="auto"/>
              <w:jc w:val="center"/>
              <w:rPr>
                <w:rFonts w:hint="eastAsia" w:ascii="宋体" w:hAnsi="宋体" w:eastAsia="宋体" w:cs="宋体"/>
                <w:color w:val="auto"/>
                <w:sz w:val="22"/>
                <w:szCs w:val="22"/>
                <w:highlight w:val="none"/>
              </w:rPr>
            </w:pPr>
          </w:p>
        </w:tc>
        <w:tc>
          <w:tcPr>
            <w:tcW w:w="958" w:type="dxa"/>
            <w:tcBorders>
              <w:bottom w:val="single" w:color="auto" w:sz="12" w:space="0"/>
            </w:tcBorders>
            <w:vAlign w:val="center"/>
          </w:tcPr>
          <w:p w14:paraId="00D0C25D">
            <w:pPr>
              <w:shd w:val="clear"/>
              <w:spacing w:line="360" w:lineRule="auto"/>
              <w:jc w:val="center"/>
              <w:rPr>
                <w:rFonts w:hint="eastAsia" w:ascii="宋体" w:hAnsi="宋体" w:eastAsia="宋体" w:cs="宋体"/>
                <w:color w:val="auto"/>
                <w:sz w:val="22"/>
                <w:szCs w:val="22"/>
                <w:highlight w:val="none"/>
              </w:rPr>
            </w:pPr>
          </w:p>
        </w:tc>
        <w:tc>
          <w:tcPr>
            <w:tcW w:w="958" w:type="dxa"/>
            <w:tcBorders>
              <w:bottom w:val="single" w:color="auto" w:sz="12" w:space="0"/>
            </w:tcBorders>
            <w:vAlign w:val="center"/>
          </w:tcPr>
          <w:p w14:paraId="63BD2ABF">
            <w:pPr>
              <w:shd w:val="clear"/>
              <w:spacing w:line="360" w:lineRule="auto"/>
              <w:jc w:val="center"/>
              <w:rPr>
                <w:rFonts w:hint="eastAsia" w:ascii="宋体" w:hAnsi="宋体" w:eastAsia="宋体" w:cs="宋体"/>
                <w:color w:val="auto"/>
                <w:sz w:val="22"/>
                <w:szCs w:val="22"/>
                <w:highlight w:val="none"/>
              </w:rPr>
            </w:pPr>
          </w:p>
        </w:tc>
        <w:tc>
          <w:tcPr>
            <w:tcW w:w="767" w:type="dxa"/>
            <w:tcBorders>
              <w:bottom w:val="single" w:color="auto" w:sz="12" w:space="0"/>
            </w:tcBorders>
            <w:vAlign w:val="center"/>
          </w:tcPr>
          <w:p w14:paraId="6B1DCDBB">
            <w:pPr>
              <w:shd w:val="clear"/>
              <w:spacing w:line="360" w:lineRule="auto"/>
              <w:jc w:val="center"/>
              <w:rPr>
                <w:rFonts w:hint="eastAsia" w:ascii="宋体" w:hAnsi="宋体" w:eastAsia="宋体" w:cs="宋体"/>
                <w:color w:val="auto"/>
                <w:sz w:val="22"/>
                <w:szCs w:val="22"/>
                <w:highlight w:val="none"/>
              </w:rPr>
            </w:pPr>
          </w:p>
        </w:tc>
        <w:tc>
          <w:tcPr>
            <w:tcW w:w="767" w:type="dxa"/>
            <w:tcBorders>
              <w:bottom w:val="single" w:color="auto" w:sz="12" w:space="0"/>
            </w:tcBorders>
            <w:vAlign w:val="center"/>
          </w:tcPr>
          <w:p w14:paraId="716A7D43">
            <w:pPr>
              <w:shd w:val="clear"/>
              <w:spacing w:line="360" w:lineRule="auto"/>
              <w:jc w:val="center"/>
              <w:rPr>
                <w:rFonts w:hint="eastAsia" w:ascii="宋体" w:hAnsi="宋体" w:eastAsia="宋体" w:cs="宋体"/>
                <w:color w:val="auto"/>
                <w:sz w:val="22"/>
                <w:szCs w:val="22"/>
                <w:highlight w:val="none"/>
              </w:rPr>
            </w:pPr>
          </w:p>
        </w:tc>
        <w:tc>
          <w:tcPr>
            <w:tcW w:w="1340" w:type="dxa"/>
            <w:tcBorders>
              <w:bottom w:val="single" w:color="auto" w:sz="12" w:space="0"/>
            </w:tcBorders>
            <w:vAlign w:val="center"/>
          </w:tcPr>
          <w:p w14:paraId="1D54569F">
            <w:pPr>
              <w:shd w:val="clear"/>
              <w:spacing w:line="360" w:lineRule="auto"/>
              <w:jc w:val="center"/>
              <w:rPr>
                <w:rFonts w:hint="eastAsia" w:ascii="宋体" w:hAnsi="宋体" w:eastAsia="宋体" w:cs="宋体"/>
                <w:color w:val="auto"/>
                <w:sz w:val="22"/>
                <w:szCs w:val="22"/>
                <w:highlight w:val="none"/>
              </w:rPr>
            </w:pPr>
          </w:p>
        </w:tc>
        <w:tc>
          <w:tcPr>
            <w:tcW w:w="1326" w:type="dxa"/>
            <w:tcBorders>
              <w:bottom w:val="single" w:color="auto" w:sz="12" w:space="0"/>
            </w:tcBorders>
            <w:vAlign w:val="center"/>
          </w:tcPr>
          <w:p w14:paraId="478BDF2A">
            <w:pPr>
              <w:shd w:val="clear"/>
              <w:spacing w:line="360" w:lineRule="auto"/>
              <w:jc w:val="center"/>
              <w:rPr>
                <w:rFonts w:hint="eastAsia" w:ascii="宋体" w:hAnsi="宋体" w:eastAsia="宋体" w:cs="宋体"/>
                <w:color w:val="auto"/>
                <w:sz w:val="22"/>
                <w:szCs w:val="22"/>
                <w:highlight w:val="none"/>
              </w:rPr>
            </w:pPr>
          </w:p>
        </w:tc>
        <w:tc>
          <w:tcPr>
            <w:tcW w:w="1825" w:type="dxa"/>
            <w:tcBorders>
              <w:bottom w:val="single" w:color="auto" w:sz="12" w:space="0"/>
            </w:tcBorders>
          </w:tcPr>
          <w:p w14:paraId="5BFD1A15">
            <w:pPr>
              <w:shd w:val="clear"/>
              <w:spacing w:line="360" w:lineRule="auto"/>
              <w:jc w:val="center"/>
              <w:rPr>
                <w:rFonts w:hint="eastAsia" w:ascii="宋体" w:hAnsi="宋体" w:eastAsia="宋体" w:cs="宋体"/>
                <w:color w:val="auto"/>
                <w:sz w:val="22"/>
                <w:szCs w:val="22"/>
                <w:highlight w:val="none"/>
              </w:rPr>
            </w:pPr>
          </w:p>
        </w:tc>
        <w:tc>
          <w:tcPr>
            <w:tcW w:w="1147" w:type="dxa"/>
            <w:tcBorders>
              <w:bottom w:val="single" w:color="auto" w:sz="12" w:space="0"/>
            </w:tcBorders>
            <w:vAlign w:val="center"/>
          </w:tcPr>
          <w:p w14:paraId="17DE90F1">
            <w:pPr>
              <w:shd w:val="clear"/>
              <w:spacing w:line="360" w:lineRule="auto"/>
              <w:jc w:val="center"/>
              <w:rPr>
                <w:rFonts w:hint="eastAsia" w:ascii="宋体" w:hAnsi="宋体" w:eastAsia="宋体" w:cs="宋体"/>
                <w:color w:val="auto"/>
                <w:sz w:val="22"/>
                <w:szCs w:val="22"/>
                <w:highlight w:val="none"/>
              </w:rPr>
            </w:pPr>
          </w:p>
        </w:tc>
      </w:tr>
    </w:tbl>
    <w:p w14:paraId="394EF62C">
      <w:pPr>
        <w:shd w:val="clear"/>
        <w:spacing w:line="38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2546C81C">
      <w:pPr>
        <w:shd w:val="clea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1.本表中提供的人员名单应与实际投入项目的人员一致，如有变更应事先与采购人沟通，经采购人同意后才可变更人员，供应商不可擅自变更人员。 </w:t>
      </w:r>
    </w:p>
    <w:p w14:paraId="277790A6">
      <w:pPr>
        <w:shd w:val="clea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2.供应商根据技术资信评分细则提供对应的证明材料，否则评分时不予认可。</w:t>
      </w:r>
    </w:p>
    <w:p w14:paraId="30F4E5CE">
      <w:pPr>
        <w:shd w:val="clear"/>
        <w:spacing w:line="360" w:lineRule="exact"/>
        <w:ind w:firstLine="4111"/>
        <w:rPr>
          <w:rFonts w:hint="eastAsia" w:ascii="宋体" w:hAnsi="宋体" w:eastAsia="宋体" w:cs="宋体"/>
          <w:color w:val="auto"/>
          <w:sz w:val="22"/>
          <w:szCs w:val="22"/>
          <w:highlight w:val="none"/>
        </w:rPr>
      </w:pPr>
    </w:p>
    <w:p w14:paraId="3E20DDD6">
      <w:pPr>
        <w:shd w:val="clear"/>
        <w:spacing w:line="360" w:lineRule="exact"/>
        <w:ind w:firstLine="4111"/>
        <w:rPr>
          <w:rFonts w:hint="eastAsia" w:ascii="宋体" w:hAnsi="宋体" w:eastAsia="宋体" w:cs="宋体"/>
          <w:color w:val="auto"/>
          <w:sz w:val="22"/>
          <w:szCs w:val="22"/>
          <w:highlight w:val="none"/>
        </w:rPr>
      </w:pPr>
    </w:p>
    <w:p w14:paraId="0DEB37F5">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13CE63F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FDE73F0">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412C3A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1EE80B06">
      <w:pPr>
        <w:shd w:val="clear"/>
        <w:spacing w:line="3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六</w:t>
      </w:r>
    </w:p>
    <w:p w14:paraId="46FBB19B">
      <w:pPr>
        <w:shd w:val="clea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类似项目业绩</w:t>
      </w:r>
      <w:r>
        <w:rPr>
          <w:rFonts w:hint="eastAsia" w:ascii="宋体" w:hAnsi="宋体" w:eastAsia="宋体" w:cs="宋体"/>
          <w:b/>
          <w:bCs/>
          <w:color w:val="auto"/>
          <w:sz w:val="28"/>
          <w:szCs w:val="28"/>
          <w:highlight w:val="none"/>
        </w:rPr>
        <w:t>表</w:t>
      </w:r>
    </w:p>
    <w:p w14:paraId="40D96BA3">
      <w:pPr>
        <w:shd w:val="clear"/>
        <w:spacing w:line="460" w:lineRule="exact"/>
        <w:rPr>
          <w:rFonts w:hint="eastAsia" w:ascii="宋体" w:hAnsi="宋体" w:eastAsia="宋体" w:cs="宋体"/>
          <w:color w:val="auto"/>
          <w:highlight w:val="none"/>
        </w:rPr>
      </w:pPr>
      <w:r>
        <w:rPr>
          <w:rFonts w:hint="eastAsia" w:ascii="宋体" w:hAnsi="宋体" w:eastAsia="宋体" w:cs="宋体"/>
          <w:color w:val="auto"/>
          <w:sz w:val="22"/>
          <w:szCs w:val="22"/>
          <w:highlight w:val="none"/>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335F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vAlign w:val="center"/>
          </w:tcPr>
          <w:p w14:paraId="70032E5E">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151" w:type="dxa"/>
            <w:vAlign w:val="center"/>
          </w:tcPr>
          <w:p w14:paraId="4516CA6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w:t>
            </w:r>
          </w:p>
        </w:tc>
        <w:tc>
          <w:tcPr>
            <w:tcW w:w="1872" w:type="dxa"/>
            <w:vAlign w:val="center"/>
          </w:tcPr>
          <w:p w14:paraId="165FADCF">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使用单位全称</w:t>
            </w:r>
          </w:p>
        </w:tc>
        <w:tc>
          <w:tcPr>
            <w:tcW w:w="1481" w:type="dxa"/>
            <w:tcBorders>
              <w:bottom w:val="single" w:color="auto" w:sz="4" w:space="0"/>
            </w:tcBorders>
            <w:vAlign w:val="center"/>
          </w:tcPr>
          <w:p w14:paraId="6F9B9040">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使用单位联系人电话</w:t>
            </w:r>
          </w:p>
        </w:tc>
        <w:tc>
          <w:tcPr>
            <w:tcW w:w="1872" w:type="dxa"/>
            <w:tcBorders>
              <w:bottom w:val="single" w:color="auto" w:sz="4" w:space="0"/>
            </w:tcBorders>
            <w:vAlign w:val="center"/>
          </w:tcPr>
          <w:p w14:paraId="3DF9CDFA">
            <w:pPr>
              <w:shd w:val="clear"/>
              <w:tabs>
                <w:tab w:val="left" w:pos="692"/>
              </w:tabs>
              <w:spacing w:line="360" w:lineRule="exact"/>
              <w:ind w:left="220" w:hanging="220" w:hangingChars="100"/>
              <w:jc w:val="center"/>
              <w:rPr>
                <w:rFonts w:hint="eastAsia" w:ascii="宋体" w:hAnsi="宋体" w:eastAsia="宋体" w:cs="宋体"/>
                <w:b/>
                <w:color w:val="auto"/>
                <w:sz w:val="22"/>
                <w:szCs w:val="22"/>
                <w:highlight w:val="none"/>
                <w:u w:val="thick"/>
              </w:rPr>
            </w:pPr>
            <w:r>
              <w:rPr>
                <w:rFonts w:hint="eastAsia" w:ascii="宋体" w:hAnsi="宋体" w:eastAsia="宋体" w:cs="宋体"/>
                <w:color w:val="auto"/>
                <w:sz w:val="22"/>
                <w:szCs w:val="22"/>
                <w:highlight w:val="none"/>
              </w:rPr>
              <w:t>合同签订时间</w:t>
            </w:r>
          </w:p>
        </w:tc>
      </w:tr>
      <w:tr w14:paraId="296C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7CF627FE">
            <w:pPr>
              <w:shd w:val="clear"/>
              <w:spacing w:line="360" w:lineRule="exact"/>
              <w:jc w:val="center"/>
              <w:rPr>
                <w:rFonts w:hint="eastAsia" w:ascii="宋体" w:hAnsi="宋体" w:eastAsia="宋体" w:cs="宋体"/>
                <w:color w:val="auto"/>
                <w:sz w:val="24"/>
                <w:highlight w:val="none"/>
              </w:rPr>
            </w:pPr>
          </w:p>
        </w:tc>
        <w:tc>
          <w:tcPr>
            <w:tcW w:w="1151" w:type="dxa"/>
          </w:tcPr>
          <w:p w14:paraId="0A6945D2">
            <w:pPr>
              <w:shd w:val="clear"/>
              <w:spacing w:line="360" w:lineRule="exact"/>
              <w:jc w:val="center"/>
              <w:rPr>
                <w:rFonts w:hint="eastAsia" w:ascii="宋体" w:hAnsi="宋体" w:eastAsia="宋体" w:cs="宋体"/>
                <w:color w:val="auto"/>
                <w:sz w:val="24"/>
                <w:highlight w:val="none"/>
              </w:rPr>
            </w:pPr>
          </w:p>
        </w:tc>
        <w:tc>
          <w:tcPr>
            <w:tcW w:w="1872" w:type="dxa"/>
          </w:tcPr>
          <w:p w14:paraId="03A83739">
            <w:pPr>
              <w:shd w:val="clear"/>
              <w:spacing w:line="360" w:lineRule="exact"/>
              <w:jc w:val="center"/>
              <w:rPr>
                <w:rFonts w:hint="eastAsia" w:ascii="宋体" w:hAnsi="宋体" w:eastAsia="宋体" w:cs="宋体"/>
                <w:color w:val="auto"/>
                <w:sz w:val="24"/>
                <w:highlight w:val="none"/>
              </w:rPr>
            </w:pPr>
          </w:p>
        </w:tc>
        <w:tc>
          <w:tcPr>
            <w:tcW w:w="1481" w:type="dxa"/>
          </w:tcPr>
          <w:p w14:paraId="675B4671">
            <w:pPr>
              <w:shd w:val="clear"/>
              <w:spacing w:line="360" w:lineRule="exact"/>
              <w:jc w:val="center"/>
              <w:rPr>
                <w:rFonts w:hint="eastAsia" w:ascii="宋体" w:hAnsi="宋体" w:eastAsia="宋体" w:cs="宋体"/>
                <w:color w:val="auto"/>
                <w:sz w:val="24"/>
                <w:highlight w:val="none"/>
              </w:rPr>
            </w:pPr>
          </w:p>
        </w:tc>
        <w:tc>
          <w:tcPr>
            <w:tcW w:w="1872" w:type="dxa"/>
          </w:tcPr>
          <w:p w14:paraId="33AA5ADB">
            <w:pPr>
              <w:shd w:val="clear"/>
              <w:spacing w:line="360" w:lineRule="exact"/>
              <w:jc w:val="center"/>
              <w:rPr>
                <w:rFonts w:hint="eastAsia" w:ascii="宋体" w:hAnsi="宋体" w:eastAsia="宋体" w:cs="宋体"/>
                <w:color w:val="auto"/>
                <w:sz w:val="24"/>
                <w:highlight w:val="none"/>
              </w:rPr>
            </w:pPr>
          </w:p>
        </w:tc>
      </w:tr>
      <w:tr w14:paraId="3F81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3D228569">
            <w:pPr>
              <w:shd w:val="clear"/>
              <w:spacing w:line="360" w:lineRule="exact"/>
              <w:jc w:val="center"/>
              <w:rPr>
                <w:rFonts w:hint="eastAsia" w:ascii="宋体" w:hAnsi="宋体" w:eastAsia="宋体" w:cs="宋体"/>
                <w:color w:val="auto"/>
                <w:sz w:val="24"/>
                <w:highlight w:val="none"/>
              </w:rPr>
            </w:pPr>
          </w:p>
        </w:tc>
        <w:tc>
          <w:tcPr>
            <w:tcW w:w="1151" w:type="dxa"/>
          </w:tcPr>
          <w:p w14:paraId="7064CF61">
            <w:pPr>
              <w:shd w:val="clear"/>
              <w:spacing w:line="360" w:lineRule="exact"/>
              <w:jc w:val="center"/>
              <w:rPr>
                <w:rFonts w:hint="eastAsia" w:ascii="宋体" w:hAnsi="宋体" w:eastAsia="宋体" w:cs="宋体"/>
                <w:color w:val="auto"/>
                <w:sz w:val="24"/>
                <w:highlight w:val="none"/>
              </w:rPr>
            </w:pPr>
          </w:p>
        </w:tc>
        <w:tc>
          <w:tcPr>
            <w:tcW w:w="1872" w:type="dxa"/>
          </w:tcPr>
          <w:p w14:paraId="6674ABF4">
            <w:pPr>
              <w:shd w:val="clear"/>
              <w:spacing w:line="360" w:lineRule="exact"/>
              <w:jc w:val="center"/>
              <w:rPr>
                <w:rFonts w:hint="eastAsia" w:ascii="宋体" w:hAnsi="宋体" w:eastAsia="宋体" w:cs="宋体"/>
                <w:color w:val="auto"/>
                <w:sz w:val="24"/>
                <w:highlight w:val="none"/>
              </w:rPr>
            </w:pPr>
          </w:p>
        </w:tc>
        <w:tc>
          <w:tcPr>
            <w:tcW w:w="1481" w:type="dxa"/>
          </w:tcPr>
          <w:p w14:paraId="24F5A940">
            <w:pPr>
              <w:shd w:val="clear"/>
              <w:spacing w:line="360" w:lineRule="exact"/>
              <w:jc w:val="center"/>
              <w:rPr>
                <w:rFonts w:hint="eastAsia" w:ascii="宋体" w:hAnsi="宋体" w:eastAsia="宋体" w:cs="宋体"/>
                <w:color w:val="auto"/>
                <w:sz w:val="24"/>
                <w:highlight w:val="none"/>
              </w:rPr>
            </w:pPr>
          </w:p>
        </w:tc>
        <w:tc>
          <w:tcPr>
            <w:tcW w:w="1872" w:type="dxa"/>
          </w:tcPr>
          <w:p w14:paraId="7F6ACE85">
            <w:pPr>
              <w:shd w:val="clear"/>
              <w:spacing w:line="360" w:lineRule="exact"/>
              <w:jc w:val="center"/>
              <w:rPr>
                <w:rFonts w:hint="eastAsia" w:ascii="宋体" w:hAnsi="宋体" w:eastAsia="宋体" w:cs="宋体"/>
                <w:color w:val="auto"/>
                <w:sz w:val="24"/>
                <w:highlight w:val="none"/>
              </w:rPr>
            </w:pPr>
          </w:p>
        </w:tc>
      </w:tr>
      <w:tr w14:paraId="2B7B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6D26D90C">
            <w:pPr>
              <w:shd w:val="clear"/>
              <w:spacing w:line="360" w:lineRule="exact"/>
              <w:jc w:val="center"/>
              <w:rPr>
                <w:rFonts w:hint="eastAsia" w:ascii="宋体" w:hAnsi="宋体" w:eastAsia="宋体" w:cs="宋体"/>
                <w:color w:val="auto"/>
                <w:sz w:val="24"/>
                <w:highlight w:val="none"/>
              </w:rPr>
            </w:pPr>
          </w:p>
        </w:tc>
        <w:tc>
          <w:tcPr>
            <w:tcW w:w="1151" w:type="dxa"/>
          </w:tcPr>
          <w:p w14:paraId="06619D72">
            <w:pPr>
              <w:shd w:val="clear"/>
              <w:spacing w:line="360" w:lineRule="exact"/>
              <w:jc w:val="center"/>
              <w:rPr>
                <w:rFonts w:hint="eastAsia" w:ascii="宋体" w:hAnsi="宋体" w:eastAsia="宋体" w:cs="宋体"/>
                <w:color w:val="auto"/>
                <w:sz w:val="24"/>
                <w:highlight w:val="none"/>
              </w:rPr>
            </w:pPr>
          </w:p>
        </w:tc>
        <w:tc>
          <w:tcPr>
            <w:tcW w:w="1872" w:type="dxa"/>
          </w:tcPr>
          <w:p w14:paraId="69E1CA18">
            <w:pPr>
              <w:shd w:val="clear"/>
              <w:spacing w:line="360" w:lineRule="exact"/>
              <w:jc w:val="center"/>
              <w:rPr>
                <w:rFonts w:hint="eastAsia" w:ascii="宋体" w:hAnsi="宋体" w:eastAsia="宋体" w:cs="宋体"/>
                <w:color w:val="auto"/>
                <w:sz w:val="24"/>
                <w:highlight w:val="none"/>
              </w:rPr>
            </w:pPr>
          </w:p>
        </w:tc>
        <w:tc>
          <w:tcPr>
            <w:tcW w:w="1481" w:type="dxa"/>
          </w:tcPr>
          <w:p w14:paraId="1612F6F4">
            <w:pPr>
              <w:shd w:val="clear"/>
              <w:spacing w:line="360" w:lineRule="exact"/>
              <w:jc w:val="center"/>
              <w:rPr>
                <w:rFonts w:hint="eastAsia" w:ascii="宋体" w:hAnsi="宋体" w:eastAsia="宋体" w:cs="宋体"/>
                <w:color w:val="auto"/>
                <w:sz w:val="24"/>
                <w:highlight w:val="none"/>
              </w:rPr>
            </w:pPr>
          </w:p>
        </w:tc>
        <w:tc>
          <w:tcPr>
            <w:tcW w:w="1872" w:type="dxa"/>
          </w:tcPr>
          <w:p w14:paraId="7098A842">
            <w:pPr>
              <w:shd w:val="clear"/>
              <w:spacing w:line="360" w:lineRule="exact"/>
              <w:jc w:val="center"/>
              <w:rPr>
                <w:rFonts w:hint="eastAsia" w:ascii="宋体" w:hAnsi="宋体" w:eastAsia="宋体" w:cs="宋体"/>
                <w:color w:val="auto"/>
                <w:sz w:val="24"/>
                <w:highlight w:val="none"/>
              </w:rPr>
            </w:pPr>
          </w:p>
        </w:tc>
      </w:tr>
      <w:tr w14:paraId="188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4A4BE776">
            <w:pPr>
              <w:shd w:val="clear"/>
              <w:spacing w:line="360" w:lineRule="exact"/>
              <w:jc w:val="center"/>
              <w:rPr>
                <w:rFonts w:hint="eastAsia" w:ascii="宋体" w:hAnsi="宋体" w:eastAsia="宋体" w:cs="宋体"/>
                <w:color w:val="auto"/>
                <w:sz w:val="24"/>
                <w:highlight w:val="none"/>
              </w:rPr>
            </w:pPr>
          </w:p>
        </w:tc>
        <w:tc>
          <w:tcPr>
            <w:tcW w:w="1151" w:type="dxa"/>
          </w:tcPr>
          <w:p w14:paraId="5CFB86D0">
            <w:pPr>
              <w:shd w:val="clear"/>
              <w:spacing w:line="360" w:lineRule="exact"/>
              <w:jc w:val="center"/>
              <w:rPr>
                <w:rFonts w:hint="eastAsia" w:ascii="宋体" w:hAnsi="宋体" w:eastAsia="宋体" w:cs="宋体"/>
                <w:color w:val="auto"/>
                <w:sz w:val="24"/>
                <w:highlight w:val="none"/>
              </w:rPr>
            </w:pPr>
          </w:p>
        </w:tc>
        <w:tc>
          <w:tcPr>
            <w:tcW w:w="1872" w:type="dxa"/>
          </w:tcPr>
          <w:p w14:paraId="386FB773">
            <w:pPr>
              <w:shd w:val="clear"/>
              <w:spacing w:line="360" w:lineRule="exact"/>
              <w:jc w:val="center"/>
              <w:rPr>
                <w:rFonts w:hint="eastAsia" w:ascii="宋体" w:hAnsi="宋体" w:eastAsia="宋体" w:cs="宋体"/>
                <w:color w:val="auto"/>
                <w:sz w:val="24"/>
                <w:highlight w:val="none"/>
              </w:rPr>
            </w:pPr>
          </w:p>
        </w:tc>
        <w:tc>
          <w:tcPr>
            <w:tcW w:w="1481" w:type="dxa"/>
          </w:tcPr>
          <w:p w14:paraId="30DD811C">
            <w:pPr>
              <w:shd w:val="clear"/>
              <w:spacing w:line="360" w:lineRule="exact"/>
              <w:jc w:val="center"/>
              <w:rPr>
                <w:rFonts w:hint="eastAsia" w:ascii="宋体" w:hAnsi="宋体" w:eastAsia="宋体" w:cs="宋体"/>
                <w:color w:val="auto"/>
                <w:sz w:val="24"/>
                <w:highlight w:val="none"/>
              </w:rPr>
            </w:pPr>
          </w:p>
        </w:tc>
        <w:tc>
          <w:tcPr>
            <w:tcW w:w="1872" w:type="dxa"/>
          </w:tcPr>
          <w:p w14:paraId="3CAEC9D7">
            <w:pPr>
              <w:shd w:val="clear"/>
              <w:spacing w:line="360" w:lineRule="exact"/>
              <w:jc w:val="center"/>
              <w:rPr>
                <w:rFonts w:hint="eastAsia" w:ascii="宋体" w:hAnsi="宋体" w:eastAsia="宋体" w:cs="宋体"/>
                <w:color w:val="auto"/>
                <w:sz w:val="24"/>
                <w:highlight w:val="none"/>
              </w:rPr>
            </w:pPr>
          </w:p>
        </w:tc>
      </w:tr>
      <w:tr w14:paraId="52F1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5301A4B6">
            <w:pPr>
              <w:shd w:val="clear"/>
              <w:spacing w:line="360" w:lineRule="exact"/>
              <w:jc w:val="center"/>
              <w:rPr>
                <w:rFonts w:hint="eastAsia" w:ascii="宋体" w:hAnsi="宋体" w:eastAsia="宋体" w:cs="宋体"/>
                <w:color w:val="auto"/>
                <w:sz w:val="24"/>
                <w:highlight w:val="none"/>
              </w:rPr>
            </w:pPr>
          </w:p>
        </w:tc>
        <w:tc>
          <w:tcPr>
            <w:tcW w:w="1151" w:type="dxa"/>
          </w:tcPr>
          <w:p w14:paraId="0118CC50">
            <w:pPr>
              <w:shd w:val="clear"/>
              <w:spacing w:line="360" w:lineRule="exact"/>
              <w:jc w:val="center"/>
              <w:rPr>
                <w:rFonts w:hint="eastAsia" w:ascii="宋体" w:hAnsi="宋体" w:eastAsia="宋体" w:cs="宋体"/>
                <w:color w:val="auto"/>
                <w:sz w:val="24"/>
                <w:highlight w:val="none"/>
              </w:rPr>
            </w:pPr>
          </w:p>
        </w:tc>
        <w:tc>
          <w:tcPr>
            <w:tcW w:w="1872" w:type="dxa"/>
          </w:tcPr>
          <w:p w14:paraId="2F62C5A5">
            <w:pPr>
              <w:shd w:val="clear"/>
              <w:spacing w:line="360" w:lineRule="exact"/>
              <w:jc w:val="center"/>
              <w:rPr>
                <w:rFonts w:hint="eastAsia" w:ascii="宋体" w:hAnsi="宋体" w:eastAsia="宋体" w:cs="宋体"/>
                <w:color w:val="auto"/>
                <w:sz w:val="24"/>
                <w:highlight w:val="none"/>
              </w:rPr>
            </w:pPr>
          </w:p>
        </w:tc>
        <w:tc>
          <w:tcPr>
            <w:tcW w:w="1481" w:type="dxa"/>
          </w:tcPr>
          <w:p w14:paraId="7B4527B3">
            <w:pPr>
              <w:shd w:val="clear"/>
              <w:spacing w:line="360" w:lineRule="exact"/>
              <w:jc w:val="center"/>
              <w:rPr>
                <w:rFonts w:hint="eastAsia" w:ascii="宋体" w:hAnsi="宋体" w:eastAsia="宋体" w:cs="宋体"/>
                <w:color w:val="auto"/>
                <w:sz w:val="24"/>
                <w:highlight w:val="none"/>
              </w:rPr>
            </w:pPr>
          </w:p>
        </w:tc>
        <w:tc>
          <w:tcPr>
            <w:tcW w:w="1872" w:type="dxa"/>
          </w:tcPr>
          <w:p w14:paraId="271104CA">
            <w:pPr>
              <w:shd w:val="clear"/>
              <w:spacing w:line="360" w:lineRule="exact"/>
              <w:jc w:val="center"/>
              <w:rPr>
                <w:rFonts w:hint="eastAsia" w:ascii="宋体" w:hAnsi="宋体" w:eastAsia="宋体" w:cs="宋体"/>
                <w:color w:val="auto"/>
                <w:sz w:val="24"/>
                <w:highlight w:val="none"/>
              </w:rPr>
            </w:pPr>
          </w:p>
        </w:tc>
      </w:tr>
      <w:tr w14:paraId="079A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13F279B3">
            <w:pPr>
              <w:shd w:val="clear"/>
              <w:spacing w:line="360" w:lineRule="exact"/>
              <w:jc w:val="center"/>
              <w:rPr>
                <w:rFonts w:hint="eastAsia" w:ascii="宋体" w:hAnsi="宋体" w:eastAsia="宋体" w:cs="宋体"/>
                <w:color w:val="auto"/>
                <w:sz w:val="24"/>
                <w:highlight w:val="none"/>
              </w:rPr>
            </w:pPr>
          </w:p>
        </w:tc>
        <w:tc>
          <w:tcPr>
            <w:tcW w:w="1151" w:type="dxa"/>
          </w:tcPr>
          <w:p w14:paraId="58337F8C">
            <w:pPr>
              <w:shd w:val="clear"/>
              <w:spacing w:line="360" w:lineRule="exact"/>
              <w:jc w:val="center"/>
              <w:rPr>
                <w:rFonts w:hint="eastAsia" w:ascii="宋体" w:hAnsi="宋体" w:eastAsia="宋体" w:cs="宋体"/>
                <w:color w:val="auto"/>
                <w:sz w:val="24"/>
                <w:highlight w:val="none"/>
              </w:rPr>
            </w:pPr>
          </w:p>
        </w:tc>
        <w:tc>
          <w:tcPr>
            <w:tcW w:w="1872" w:type="dxa"/>
          </w:tcPr>
          <w:p w14:paraId="4AB10E8D">
            <w:pPr>
              <w:shd w:val="clear"/>
              <w:spacing w:line="360" w:lineRule="exact"/>
              <w:jc w:val="center"/>
              <w:rPr>
                <w:rFonts w:hint="eastAsia" w:ascii="宋体" w:hAnsi="宋体" w:eastAsia="宋体" w:cs="宋体"/>
                <w:color w:val="auto"/>
                <w:sz w:val="24"/>
                <w:highlight w:val="none"/>
              </w:rPr>
            </w:pPr>
          </w:p>
        </w:tc>
        <w:tc>
          <w:tcPr>
            <w:tcW w:w="1481" w:type="dxa"/>
          </w:tcPr>
          <w:p w14:paraId="05881842">
            <w:pPr>
              <w:shd w:val="clear"/>
              <w:spacing w:line="360" w:lineRule="exact"/>
              <w:jc w:val="center"/>
              <w:rPr>
                <w:rFonts w:hint="eastAsia" w:ascii="宋体" w:hAnsi="宋体" w:eastAsia="宋体" w:cs="宋体"/>
                <w:color w:val="auto"/>
                <w:sz w:val="24"/>
                <w:highlight w:val="none"/>
              </w:rPr>
            </w:pPr>
          </w:p>
        </w:tc>
        <w:tc>
          <w:tcPr>
            <w:tcW w:w="1872" w:type="dxa"/>
          </w:tcPr>
          <w:p w14:paraId="51175811">
            <w:pPr>
              <w:shd w:val="clear"/>
              <w:spacing w:line="360" w:lineRule="exact"/>
              <w:jc w:val="center"/>
              <w:rPr>
                <w:rFonts w:hint="eastAsia" w:ascii="宋体" w:hAnsi="宋体" w:eastAsia="宋体" w:cs="宋体"/>
                <w:color w:val="auto"/>
                <w:sz w:val="24"/>
                <w:highlight w:val="none"/>
              </w:rPr>
            </w:pPr>
          </w:p>
        </w:tc>
      </w:tr>
      <w:tr w14:paraId="386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4BF82461">
            <w:pPr>
              <w:shd w:val="clear"/>
              <w:spacing w:line="360" w:lineRule="exact"/>
              <w:jc w:val="center"/>
              <w:rPr>
                <w:rFonts w:hint="eastAsia" w:ascii="宋体" w:hAnsi="宋体" w:eastAsia="宋体" w:cs="宋体"/>
                <w:color w:val="auto"/>
                <w:sz w:val="24"/>
                <w:highlight w:val="none"/>
              </w:rPr>
            </w:pPr>
          </w:p>
        </w:tc>
        <w:tc>
          <w:tcPr>
            <w:tcW w:w="1151" w:type="dxa"/>
          </w:tcPr>
          <w:p w14:paraId="09987030">
            <w:pPr>
              <w:shd w:val="clear"/>
              <w:spacing w:line="360" w:lineRule="exact"/>
              <w:jc w:val="center"/>
              <w:rPr>
                <w:rFonts w:hint="eastAsia" w:ascii="宋体" w:hAnsi="宋体" w:eastAsia="宋体" w:cs="宋体"/>
                <w:color w:val="auto"/>
                <w:sz w:val="24"/>
                <w:highlight w:val="none"/>
              </w:rPr>
            </w:pPr>
          </w:p>
        </w:tc>
        <w:tc>
          <w:tcPr>
            <w:tcW w:w="1872" w:type="dxa"/>
          </w:tcPr>
          <w:p w14:paraId="381497D6">
            <w:pPr>
              <w:shd w:val="clear"/>
              <w:spacing w:line="360" w:lineRule="exact"/>
              <w:jc w:val="center"/>
              <w:rPr>
                <w:rFonts w:hint="eastAsia" w:ascii="宋体" w:hAnsi="宋体" w:eastAsia="宋体" w:cs="宋体"/>
                <w:color w:val="auto"/>
                <w:sz w:val="24"/>
                <w:highlight w:val="none"/>
              </w:rPr>
            </w:pPr>
          </w:p>
        </w:tc>
        <w:tc>
          <w:tcPr>
            <w:tcW w:w="1481" w:type="dxa"/>
          </w:tcPr>
          <w:p w14:paraId="0911C1A4">
            <w:pPr>
              <w:shd w:val="clear"/>
              <w:spacing w:line="360" w:lineRule="exact"/>
              <w:jc w:val="center"/>
              <w:rPr>
                <w:rFonts w:hint="eastAsia" w:ascii="宋体" w:hAnsi="宋体" w:eastAsia="宋体" w:cs="宋体"/>
                <w:color w:val="auto"/>
                <w:sz w:val="24"/>
                <w:highlight w:val="none"/>
              </w:rPr>
            </w:pPr>
          </w:p>
        </w:tc>
        <w:tc>
          <w:tcPr>
            <w:tcW w:w="1872" w:type="dxa"/>
          </w:tcPr>
          <w:p w14:paraId="093E5C57">
            <w:pPr>
              <w:shd w:val="clear"/>
              <w:spacing w:line="360" w:lineRule="exact"/>
              <w:jc w:val="center"/>
              <w:rPr>
                <w:rFonts w:hint="eastAsia" w:ascii="宋体" w:hAnsi="宋体" w:eastAsia="宋体" w:cs="宋体"/>
                <w:color w:val="auto"/>
                <w:sz w:val="24"/>
                <w:highlight w:val="none"/>
              </w:rPr>
            </w:pPr>
          </w:p>
        </w:tc>
      </w:tr>
      <w:tr w14:paraId="6EA3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35CCD721">
            <w:pPr>
              <w:shd w:val="clear"/>
              <w:spacing w:line="360" w:lineRule="exact"/>
              <w:jc w:val="center"/>
              <w:rPr>
                <w:rFonts w:hint="eastAsia" w:ascii="宋体" w:hAnsi="宋体" w:eastAsia="宋体" w:cs="宋体"/>
                <w:color w:val="auto"/>
                <w:sz w:val="24"/>
                <w:highlight w:val="none"/>
              </w:rPr>
            </w:pPr>
          </w:p>
        </w:tc>
        <w:tc>
          <w:tcPr>
            <w:tcW w:w="1151" w:type="dxa"/>
          </w:tcPr>
          <w:p w14:paraId="0E65DAFE">
            <w:pPr>
              <w:shd w:val="clear"/>
              <w:spacing w:line="360" w:lineRule="exact"/>
              <w:jc w:val="center"/>
              <w:rPr>
                <w:rFonts w:hint="eastAsia" w:ascii="宋体" w:hAnsi="宋体" w:eastAsia="宋体" w:cs="宋体"/>
                <w:color w:val="auto"/>
                <w:sz w:val="24"/>
                <w:highlight w:val="none"/>
              </w:rPr>
            </w:pPr>
          </w:p>
        </w:tc>
        <w:tc>
          <w:tcPr>
            <w:tcW w:w="1872" w:type="dxa"/>
          </w:tcPr>
          <w:p w14:paraId="748EF91E">
            <w:pPr>
              <w:shd w:val="clear"/>
              <w:spacing w:line="360" w:lineRule="exact"/>
              <w:jc w:val="center"/>
              <w:rPr>
                <w:rFonts w:hint="eastAsia" w:ascii="宋体" w:hAnsi="宋体" w:eastAsia="宋体" w:cs="宋体"/>
                <w:color w:val="auto"/>
                <w:sz w:val="24"/>
                <w:highlight w:val="none"/>
              </w:rPr>
            </w:pPr>
          </w:p>
        </w:tc>
        <w:tc>
          <w:tcPr>
            <w:tcW w:w="1481" w:type="dxa"/>
          </w:tcPr>
          <w:p w14:paraId="2BF7F29B">
            <w:pPr>
              <w:shd w:val="clear"/>
              <w:spacing w:line="360" w:lineRule="exact"/>
              <w:jc w:val="center"/>
              <w:rPr>
                <w:rFonts w:hint="eastAsia" w:ascii="宋体" w:hAnsi="宋体" w:eastAsia="宋体" w:cs="宋体"/>
                <w:color w:val="auto"/>
                <w:sz w:val="24"/>
                <w:highlight w:val="none"/>
              </w:rPr>
            </w:pPr>
          </w:p>
        </w:tc>
        <w:tc>
          <w:tcPr>
            <w:tcW w:w="1872" w:type="dxa"/>
          </w:tcPr>
          <w:p w14:paraId="6222DDC7">
            <w:pPr>
              <w:shd w:val="clear"/>
              <w:spacing w:line="360" w:lineRule="exact"/>
              <w:jc w:val="center"/>
              <w:rPr>
                <w:rFonts w:hint="eastAsia" w:ascii="宋体" w:hAnsi="宋体" w:eastAsia="宋体" w:cs="宋体"/>
                <w:color w:val="auto"/>
                <w:sz w:val="24"/>
                <w:highlight w:val="none"/>
              </w:rPr>
            </w:pPr>
          </w:p>
        </w:tc>
      </w:tr>
      <w:tr w14:paraId="3BB6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7E7775F1">
            <w:pPr>
              <w:shd w:val="clear"/>
              <w:spacing w:line="360" w:lineRule="exact"/>
              <w:jc w:val="center"/>
              <w:rPr>
                <w:rFonts w:hint="eastAsia" w:ascii="宋体" w:hAnsi="宋体" w:eastAsia="宋体" w:cs="宋体"/>
                <w:color w:val="auto"/>
                <w:sz w:val="24"/>
                <w:highlight w:val="none"/>
              </w:rPr>
            </w:pPr>
          </w:p>
        </w:tc>
        <w:tc>
          <w:tcPr>
            <w:tcW w:w="1151" w:type="dxa"/>
          </w:tcPr>
          <w:p w14:paraId="47F48AD2">
            <w:pPr>
              <w:shd w:val="clear"/>
              <w:spacing w:line="360" w:lineRule="exact"/>
              <w:jc w:val="center"/>
              <w:rPr>
                <w:rFonts w:hint="eastAsia" w:ascii="宋体" w:hAnsi="宋体" w:eastAsia="宋体" w:cs="宋体"/>
                <w:color w:val="auto"/>
                <w:sz w:val="24"/>
                <w:highlight w:val="none"/>
              </w:rPr>
            </w:pPr>
          </w:p>
        </w:tc>
        <w:tc>
          <w:tcPr>
            <w:tcW w:w="1872" w:type="dxa"/>
          </w:tcPr>
          <w:p w14:paraId="0B7E8644">
            <w:pPr>
              <w:shd w:val="clear"/>
              <w:spacing w:line="360" w:lineRule="exact"/>
              <w:jc w:val="center"/>
              <w:rPr>
                <w:rFonts w:hint="eastAsia" w:ascii="宋体" w:hAnsi="宋体" w:eastAsia="宋体" w:cs="宋体"/>
                <w:color w:val="auto"/>
                <w:sz w:val="24"/>
                <w:highlight w:val="none"/>
              </w:rPr>
            </w:pPr>
          </w:p>
        </w:tc>
        <w:tc>
          <w:tcPr>
            <w:tcW w:w="1481" w:type="dxa"/>
          </w:tcPr>
          <w:p w14:paraId="0FF1885E">
            <w:pPr>
              <w:shd w:val="clear"/>
              <w:spacing w:line="360" w:lineRule="exact"/>
              <w:jc w:val="center"/>
              <w:rPr>
                <w:rFonts w:hint="eastAsia" w:ascii="宋体" w:hAnsi="宋体" w:eastAsia="宋体" w:cs="宋体"/>
                <w:color w:val="auto"/>
                <w:sz w:val="24"/>
                <w:highlight w:val="none"/>
              </w:rPr>
            </w:pPr>
          </w:p>
        </w:tc>
        <w:tc>
          <w:tcPr>
            <w:tcW w:w="1872" w:type="dxa"/>
          </w:tcPr>
          <w:p w14:paraId="40093153">
            <w:pPr>
              <w:shd w:val="clear"/>
              <w:spacing w:line="360" w:lineRule="exact"/>
              <w:jc w:val="center"/>
              <w:rPr>
                <w:rFonts w:hint="eastAsia" w:ascii="宋体" w:hAnsi="宋体" w:eastAsia="宋体" w:cs="宋体"/>
                <w:color w:val="auto"/>
                <w:sz w:val="24"/>
                <w:highlight w:val="none"/>
              </w:rPr>
            </w:pPr>
          </w:p>
        </w:tc>
      </w:tr>
    </w:tbl>
    <w:p w14:paraId="53F5FBEF">
      <w:pPr>
        <w:shd w:val="clear"/>
        <w:spacing w:line="360" w:lineRule="exact"/>
        <w:rPr>
          <w:rFonts w:hint="eastAsia"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rPr>
        <w:t>注：</w:t>
      </w:r>
    </w:p>
    <w:p w14:paraId="1ECEF2EB">
      <w:pPr>
        <w:shd w:val="clear"/>
        <w:tabs>
          <w:tab w:val="left" w:pos="5355"/>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1、投标人的</w:t>
      </w:r>
      <w:r>
        <w:rPr>
          <w:rFonts w:hint="eastAsia" w:ascii="宋体" w:hAnsi="宋体" w:eastAsia="宋体" w:cs="宋体"/>
          <w:bCs/>
          <w:color w:val="auto"/>
          <w:sz w:val="22"/>
          <w:szCs w:val="22"/>
          <w:highlight w:val="none"/>
          <w:lang w:eastAsia="zh-CN"/>
        </w:rPr>
        <w:t>类似项目业绩</w:t>
      </w:r>
      <w:r>
        <w:rPr>
          <w:rFonts w:hint="eastAsia" w:ascii="宋体" w:hAnsi="宋体" w:eastAsia="宋体" w:cs="宋体"/>
          <w:bCs/>
          <w:color w:val="auto"/>
          <w:sz w:val="22"/>
          <w:szCs w:val="22"/>
          <w:highlight w:val="none"/>
        </w:rPr>
        <w:t>须满足采购文件第五部分“评分细则”中相对应的条件，否则评分不予认可。</w:t>
      </w:r>
    </w:p>
    <w:p w14:paraId="0449D4DA">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2、本表可在不改变格式的情况下根据具体需要自行增减。</w:t>
      </w:r>
    </w:p>
    <w:p w14:paraId="1F775A82">
      <w:pPr>
        <w:shd w:val="clear"/>
        <w:spacing w:line="360" w:lineRule="exac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3、</w:t>
      </w:r>
      <w:r>
        <w:rPr>
          <w:rFonts w:hint="eastAsia" w:ascii="宋体" w:hAnsi="宋体" w:eastAsia="宋体" w:cs="宋体"/>
          <w:b/>
          <w:bCs/>
          <w:color w:val="auto"/>
          <w:sz w:val="22"/>
          <w:szCs w:val="22"/>
          <w:highlight w:val="none"/>
          <w:u w:val="thick"/>
        </w:rPr>
        <w:t>投标人不按此要求填写此项内容或未提供业绩证明材料将视为无业绩。</w:t>
      </w:r>
    </w:p>
    <w:p w14:paraId="40D7E041">
      <w:pPr>
        <w:shd w:val="clear"/>
        <w:spacing w:line="360" w:lineRule="exact"/>
        <w:ind w:left="673" w:hanging="663" w:hangingChars="300"/>
        <w:rPr>
          <w:rFonts w:hint="eastAsia" w:ascii="宋体" w:hAnsi="宋体" w:eastAsia="宋体" w:cs="宋体"/>
          <w:b/>
          <w:color w:val="auto"/>
          <w:sz w:val="22"/>
          <w:szCs w:val="22"/>
          <w:highlight w:val="none"/>
        </w:rPr>
      </w:pPr>
    </w:p>
    <w:p w14:paraId="34C2EBD7">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34DE62D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2835DE6">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4B62171">
      <w:pPr>
        <w:shd w:val="clear"/>
        <w:spacing w:line="380" w:lineRule="exact"/>
        <w:ind w:firstLine="4417" w:firstLineChars="2000"/>
        <w:rPr>
          <w:rFonts w:hint="eastAsia" w:ascii="宋体" w:hAnsi="宋体" w:eastAsia="宋体" w:cs="宋体"/>
          <w:b/>
          <w:bCs/>
          <w:color w:val="auto"/>
          <w:sz w:val="22"/>
          <w:szCs w:val="22"/>
          <w:highlight w:val="none"/>
        </w:rPr>
      </w:pPr>
      <w:bookmarkStart w:id="188" w:name="_Toc221356894"/>
      <w:bookmarkStart w:id="189" w:name="_Toc262105510"/>
      <w:bookmarkStart w:id="190" w:name="_Toc221423625"/>
      <w:bookmarkStart w:id="191" w:name="_Toc223716004"/>
      <w:bookmarkStart w:id="192" w:name="_Toc239145360"/>
      <w:bookmarkStart w:id="193" w:name="_Toc222114885"/>
      <w:bookmarkStart w:id="194" w:name="_Toc249758871"/>
      <w:bookmarkStart w:id="195" w:name="_Toc245191320"/>
      <w:bookmarkStart w:id="196" w:name="_Toc241404208"/>
      <w:bookmarkStart w:id="197" w:name="_Toc262049425"/>
      <w:bookmarkStart w:id="198" w:name="_Toc221374632"/>
      <w:bookmarkStart w:id="199" w:name="_Toc245722287"/>
      <w:bookmarkStart w:id="200" w:name="_Toc246261271"/>
      <w:bookmarkStart w:id="201" w:name="_Toc221356957"/>
      <w:bookmarkStart w:id="202" w:name="_Toc249758721"/>
      <w:bookmarkStart w:id="203" w:name="_Hlk85884979"/>
    </w:p>
    <w:p w14:paraId="006D1335">
      <w:pPr>
        <w:shd w:val="clea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6534CF42">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2"/>
          <w:szCs w:val="22"/>
          <w:highlight w:val="none"/>
          <w:lang w:eastAsia="zh-CN" w:bidi="ar-SA"/>
        </w:rPr>
        <w:t>附件</w:t>
      </w:r>
      <w:r>
        <w:rPr>
          <w:rFonts w:hint="eastAsia" w:ascii="宋体" w:hAnsi="宋体" w:eastAsia="宋体" w:cs="宋体"/>
          <w:b/>
          <w:color w:val="auto"/>
          <w:sz w:val="22"/>
          <w:szCs w:val="22"/>
          <w:highlight w:val="none"/>
          <w:lang w:val="en-US" w:eastAsia="zh-CN" w:bidi="ar-SA"/>
        </w:rPr>
        <w:t>七</w:t>
      </w:r>
    </w:p>
    <w:p w14:paraId="73DE5A0B">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（1）供货范围详细清单</w:t>
      </w:r>
    </w:p>
    <w:p w14:paraId="02C4A64F">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310"/>
        <w:gridCol w:w="1305"/>
        <w:gridCol w:w="940"/>
        <w:gridCol w:w="1612"/>
        <w:gridCol w:w="845"/>
        <w:gridCol w:w="825"/>
        <w:gridCol w:w="1432"/>
        <w:gridCol w:w="1031"/>
      </w:tblGrid>
      <w:tr w14:paraId="42BBF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3C63AA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91BA7E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000D4C4">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BFBEB9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产地/制造商</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3AE7681">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7C89B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1BD0DD">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CC867D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技术参数、性能</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F40A96D">
            <w:pPr>
              <w:shd w:val="clear"/>
              <w:ind w:right="-11"/>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免费</w:t>
            </w:r>
          </w:p>
          <w:p w14:paraId="775E38E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质保期</w:t>
            </w:r>
          </w:p>
        </w:tc>
      </w:tr>
      <w:tr w14:paraId="74866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155C7BA">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2E38853">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948120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60C9FB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AD3BE3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02AEEA">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A32416">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7E2AD7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73937F">
            <w:pPr>
              <w:shd w:val="clear"/>
              <w:snapToGrid w:val="0"/>
              <w:spacing w:before="50" w:after="50"/>
              <w:jc w:val="center"/>
              <w:rPr>
                <w:rFonts w:hint="eastAsia" w:ascii="宋体" w:hAnsi="宋体" w:eastAsia="宋体" w:cs="宋体"/>
                <w:color w:val="auto"/>
                <w:sz w:val="22"/>
                <w:szCs w:val="22"/>
                <w:highlight w:val="none"/>
              </w:rPr>
            </w:pPr>
          </w:p>
        </w:tc>
      </w:tr>
      <w:tr w14:paraId="5027A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4D220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6DF087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B66CC7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91F8CD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C1F46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EB57B3C">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377A7D">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AEAD09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8A4709">
            <w:pPr>
              <w:shd w:val="clear"/>
              <w:snapToGrid w:val="0"/>
              <w:spacing w:before="50" w:after="50"/>
              <w:jc w:val="center"/>
              <w:rPr>
                <w:rFonts w:hint="eastAsia" w:ascii="宋体" w:hAnsi="宋体" w:eastAsia="宋体" w:cs="宋体"/>
                <w:color w:val="auto"/>
                <w:sz w:val="22"/>
                <w:szCs w:val="22"/>
                <w:highlight w:val="none"/>
              </w:rPr>
            </w:pPr>
          </w:p>
        </w:tc>
      </w:tr>
      <w:tr w14:paraId="3DD6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FEA52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ABFB529">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8CFB98E">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A4E1B8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C46DFD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03DEE4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F75E4E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F2ED75A">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82FC2C">
            <w:pPr>
              <w:shd w:val="clear"/>
              <w:snapToGrid w:val="0"/>
              <w:spacing w:before="50" w:after="50"/>
              <w:jc w:val="center"/>
              <w:rPr>
                <w:rFonts w:hint="eastAsia" w:ascii="宋体" w:hAnsi="宋体" w:eastAsia="宋体" w:cs="宋体"/>
                <w:color w:val="auto"/>
                <w:sz w:val="22"/>
                <w:szCs w:val="22"/>
                <w:highlight w:val="none"/>
              </w:rPr>
            </w:pPr>
          </w:p>
        </w:tc>
      </w:tr>
      <w:tr w14:paraId="7A43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DC7E6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B18F15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6590F5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836F7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6825C6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4F38D5E">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C92520E">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967214D">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2C51E5E">
            <w:pPr>
              <w:shd w:val="clear"/>
              <w:snapToGrid w:val="0"/>
              <w:spacing w:before="50" w:after="50"/>
              <w:jc w:val="center"/>
              <w:rPr>
                <w:rFonts w:hint="eastAsia" w:ascii="宋体" w:hAnsi="宋体" w:eastAsia="宋体" w:cs="宋体"/>
                <w:color w:val="auto"/>
                <w:sz w:val="22"/>
                <w:szCs w:val="22"/>
                <w:highlight w:val="none"/>
              </w:rPr>
            </w:pPr>
          </w:p>
        </w:tc>
      </w:tr>
      <w:tr w14:paraId="3C49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B772DA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1EB7BEC">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14449B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E3DB76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DA7B62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622F7D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C516C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07B073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C24E80">
            <w:pPr>
              <w:shd w:val="clear"/>
              <w:snapToGrid w:val="0"/>
              <w:spacing w:before="50" w:after="50"/>
              <w:jc w:val="center"/>
              <w:rPr>
                <w:rFonts w:hint="eastAsia" w:ascii="宋体" w:hAnsi="宋体" w:eastAsia="宋体" w:cs="宋体"/>
                <w:color w:val="auto"/>
                <w:sz w:val="22"/>
                <w:szCs w:val="22"/>
                <w:highlight w:val="none"/>
              </w:rPr>
            </w:pPr>
          </w:p>
        </w:tc>
      </w:tr>
      <w:tr w14:paraId="6898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1EE39F6">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5C1D07">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952DFA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2885AF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F7EEE2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0C25B3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11AB88A">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125C2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E9FE69">
            <w:pPr>
              <w:shd w:val="clear"/>
              <w:snapToGrid w:val="0"/>
              <w:spacing w:before="50" w:after="50"/>
              <w:jc w:val="center"/>
              <w:rPr>
                <w:rFonts w:hint="eastAsia" w:ascii="宋体" w:hAnsi="宋体" w:eastAsia="宋体" w:cs="宋体"/>
                <w:color w:val="auto"/>
                <w:sz w:val="22"/>
                <w:szCs w:val="22"/>
                <w:highlight w:val="none"/>
              </w:rPr>
            </w:pPr>
          </w:p>
        </w:tc>
      </w:tr>
      <w:tr w14:paraId="53094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53CDFCF">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C7BB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B6EB7D4">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47B504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8E806C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8953A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892137">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64861AC">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CCD511">
            <w:pPr>
              <w:shd w:val="clear"/>
              <w:snapToGrid w:val="0"/>
              <w:spacing w:before="50" w:after="50"/>
              <w:jc w:val="center"/>
              <w:rPr>
                <w:rFonts w:hint="eastAsia" w:ascii="宋体" w:hAnsi="宋体" w:eastAsia="宋体" w:cs="宋体"/>
                <w:color w:val="auto"/>
                <w:sz w:val="22"/>
                <w:szCs w:val="22"/>
                <w:highlight w:val="none"/>
              </w:rPr>
            </w:pPr>
          </w:p>
        </w:tc>
      </w:tr>
      <w:tr w14:paraId="5FC06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4F925F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DF798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EFB7D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3D82B4C">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460BF0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CEDA9E0">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E51FD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26CF35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E956FE">
            <w:pPr>
              <w:shd w:val="clear"/>
              <w:snapToGrid w:val="0"/>
              <w:spacing w:before="50" w:after="50"/>
              <w:jc w:val="center"/>
              <w:rPr>
                <w:rFonts w:hint="eastAsia" w:ascii="宋体" w:hAnsi="宋体" w:eastAsia="宋体" w:cs="宋体"/>
                <w:color w:val="auto"/>
                <w:sz w:val="22"/>
                <w:szCs w:val="22"/>
                <w:highlight w:val="none"/>
              </w:rPr>
            </w:pPr>
          </w:p>
        </w:tc>
      </w:tr>
      <w:tr w14:paraId="0E1D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CA56E2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D7903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332526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44F03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FB981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96D3B56">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AB5A6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0ED428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ADBA7D">
            <w:pPr>
              <w:shd w:val="clear"/>
              <w:snapToGrid w:val="0"/>
              <w:spacing w:before="50" w:after="50"/>
              <w:jc w:val="center"/>
              <w:rPr>
                <w:rFonts w:hint="eastAsia" w:ascii="宋体" w:hAnsi="宋体" w:eastAsia="宋体" w:cs="宋体"/>
                <w:color w:val="auto"/>
                <w:sz w:val="22"/>
                <w:szCs w:val="22"/>
                <w:highlight w:val="none"/>
              </w:rPr>
            </w:pPr>
          </w:p>
        </w:tc>
      </w:tr>
      <w:tr w14:paraId="2D804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022CFA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528936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F06835">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8DB3BBD">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A18A32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13EB32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9734359">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DC2D1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1DDA2">
            <w:pPr>
              <w:shd w:val="clear"/>
              <w:snapToGrid w:val="0"/>
              <w:spacing w:before="50" w:after="50"/>
              <w:jc w:val="center"/>
              <w:rPr>
                <w:rFonts w:hint="eastAsia" w:ascii="宋体" w:hAnsi="宋体" w:eastAsia="宋体" w:cs="宋体"/>
                <w:color w:val="auto"/>
                <w:sz w:val="22"/>
                <w:szCs w:val="22"/>
                <w:highlight w:val="none"/>
              </w:rPr>
            </w:pPr>
          </w:p>
        </w:tc>
      </w:tr>
      <w:tr w14:paraId="411EC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D56708">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0A7381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0A4DE63">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49F1039">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8137A5F">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3328A5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8D0AEA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347C2EB">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0F3698">
            <w:pPr>
              <w:shd w:val="clear"/>
              <w:snapToGrid w:val="0"/>
              <w:spacing w:before="50" w:after="50"/>
              <w:jc w:val="center"/>
              <w:rPr>
                <w:rFonts w:hint="eastAsia" w:ascii="宋体" w:hAnsi="宋体" w:eastAsia="宋体" w:cs="宋体"/>
                <w:color w:val="auto"/>
                <w:sz w:val="22"/>
                <w:szCs w:val="22"/>
                <w:highlight w:val="none"/>
              </w:rPr>
            </w:pPr>
          </w:p>
        </w:tc>
      </w:tr>
      <w:tr w14:paraId="254A9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29F951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99186CE">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8B52E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F6314D4">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FC01B73">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2AE02E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7910F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68FABA9">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896835">
            <w:pPr>
              <w:shd w:val="clear"/>
              <w:snapToGrid w:val="0"/>
              <w:spacing w:before="50" w:after="50"/>
              <w:jc w:val="center"/>
              <w:rPr>
                <w:rFonts w:hint="eastAsia" w:ascii="宋体" w:hAnsi="宋体" w:eastAsia="宋体" w:cs="宋体"/>
                <w:color w:val="auto"/>
                <w:sz w:val="22"/>
                <w:szCs w:val="22"/>
                <w:highlight w:val="none"/>
              </w:rPr>
            </w:pPr>
          </w:p>
        </w:tc>
      </w:tr>
      <w:tr w14:paraId="7E6D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0A8D82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A36A862">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D8D4FFB">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ECB65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50BA29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7E22D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9E7EC3">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7AF2955">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31AE04A">
            <w:pPr>
              <w:shd w:val="clear"/>
              <w:snapToGrid w:val="0"/>
              <w:spacing w:before="50" w:after="50"/>
              <w:jc w:val="center"/>
              <w:rPr>
                <w:rFonts w:hint="eastAsia" w:ascii="宋体" w:hAnsi="宋体" w:eastAsia="宋体" w:cs="宋体"/>
                <w:color w:val="auto"/>
                <w:sz w:val="22"/>
                <w:szCs w:val="22"/>
                <w:highlight w:val="none"/>
              </w:rPr>
            </w:pPr>
          </w:p>
        </w:tc>
      </w:tr>
      <w:tr w14:paraId="47030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37A9B32">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05DD82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6EB85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04DD152">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507EC0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8CB0442">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9EF6DB">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C13A4E0">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89FE5A">
            <w:pPr>
              <w:shd w:val="clear"/>
              <w:snapToGrid w:val="0"/>
              <w:spacing w:before="50" w:after="50"/>
              <w:jc w:val="center"/>
              <w:rPr>
                <w:rFonts w:hint="eastAsia" w:ascii="宋体" w:hAnsi="宋体" w:eastAsia="宋体" w:cs="宋体"/>
                <w:color w:val="auto"/>
                <w:sz w:val="22"/>
                <w:szCs w:val="22"/>
                <w:highlight w:val="none"/>
              </w:rPr>
            </w:pPr>
          </w:p>
        </w:tc>
      </w:tr>
      <w:tr w14:paraId="228FD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BCB9E1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EDE6B66">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00453E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ABF1945">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76126B0">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3E184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61CA01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72FCDE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E38AA73">
            <w:pPr>
              <w:shd w:val="clear"/>
              <w:snapToGrid w:val="0"/>
              <w:spacing w:before="50" w:after="50"/>
              <w:jc w:val="center"/>
              <w:rPr>
                <w:rFonts w:hint="eastAsia" w:ascii="宋体" w:hAnsi="宋体" w:eastAsia="宋体" w:cs="宋体"/>
                <w:color w:val="auto"/>
                <w:sz w:val="22"/>
                <w:szCs w:val="22"/>
                <w:highlight w:val="none"/>
              </w:rPr>
            </w:pPr>
          </w:p>
        </w:tc>
      </w:tr>
      <w:tr w14:paraId="0A37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78A0B7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775D26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8D25977">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D731C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F7E7A1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5A4B5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9C407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4AD2ABE">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C9D6AC">
            <w:pPr>
              <w:shd w:val="clear"/>
              <w:snapToGrid w:val="0"/>
              <w:spacing w:before="50" w:after="50"/>
              <w:jc w:val="center"/>
              <w:rPr>
                <w:rFonts w:hint="eastAsia" w:ascii="宋体" w:hAnsi="宋体" w:eastAsia="宋体" w:cs="宋体"/>
                <w:color w:val="auto"/>
                <w:sz w:val="22"/>
                <w:szCs w:val="22"/>
                <w:highlight w:val="none"/>
              </w:rPr>
            </w:pPr>
          </w:p>
        </w:tc>
      </w:tr>
      <w:tr w14:paraId="5AF5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8718DC">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CB92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29A3A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FAFA59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7E57C9A">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54BF1FF">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1A616E4">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015DF3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4E0F0B5">
            <w:pPr>
              <w:shd w:val="clear"/>
              <w:snapToGrid w:val="0"/>
              <w:spacing w:before="50" w:after="50"/>
              <w:jc w:val="center"/>
              <w:rPr>
                <w:rFonts w:hint="eastAsia" w:ascii="宋体" w:hAnsi="宋体" w:eastAsia="宋体" w:cs="宋体"/>
                <w:color w:val="auto"/>
                <w:sz w:val="22"/>
                <w:szCs w:val="22"/>
                <w:highlight w:val="none"/>
              </w:rPr>
            </w:pPr>
          </w:p>
        </w:tc>
      </w:tr>
    </w:tbl>
    <w:p w14:paraId="37255396">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注：1、表中的货物名称需按采购需求的第二条技术要求分项填写；</w:t>
      </w:r>
    </w:p>
    <w:p w14:paraId="498D8F47">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2、投标人可按以上表格形式进行复制，附在投标文件内。</w:t>
      </w:r>
    </w:p>
    <w:p w14:paraId="4DE35457">
      <w:pPr>
        <w:shd w:val="clear"/>
        <w:spacing w:line="380" w:lineRule="exact"/>
        <w:ind w:firstLine="4400" w:firstLineChars="2000"/>
        <w:rPr>
          <w:rFonts w:hint="eastAsia" w:ascii="宋体" w:hAnsi="宋体" w:eastAsia="宋体" w:cs="宋体"/>
          <w:color w:val="auto"/>
          <w:sz w:val="22"/>
          <w:szCs w:val="22"/>
          <w:highlight w:val="none"/>
        </w:rPr>
      </w:pPr>
    </w:p>
    <w:p w14:paraId="18FB14AA">
      <w:pPr>
        <w:shd w:val="clear"/>
        <w:spacing w:line="380" w:lineRule="exact"/>
        <w:ind w:firstLine="4400" w:firstLineChars="2000"/>
        <w:rPr>
          <w:rFonts w:hint="eastAsia" w:ascii="宋体" w:hAnsi="宋体" w:eastAsia="宋体" w:cs="宋体"/>
          <w:color w:val="auto"/>
          <w:sz w:val="22"/>
          <w:szCs w:val="22"/>
          <w:highlight w:val="none"/>
        </w:rPr>
      </w:pPr>
    </w:p>
    <w:p w14:paraId="407DDF9F">
      <w:pPr>
        <w:shd w:val="clear"/>
        <w:spacing w:line="380" w:lineRule="exact"/>
        <w:ind w:firstLine="4400" w:firstLineChars="2000"/>
        <w:rPr>
          <w:rFonts w:hint="eastAsia" w:ascii="宋体" w:hAnsi="宋体" w:eastAsia="宋体" w:cs="宋体"/>
          <w:color w:val="auto"/>
          <w:sz w:val="22"/>
          <w:szCs w:val="22"/>
          <w:highlight w:val="none"/>
        </w:rPr>
      </w:pPr>
    </w:p>
    <w:p w14:paraId="625FE3BB">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0D53B9A">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4D7E7A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187BF2F">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（2）随机备品备件和专用工具清单（如有）</w:t>
      </w:r>
    </w:p>
    <w:p w14:paraId="63EDFE5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652"/>
        <w:gridCol w:w="1541"/>
        <w:gridCol w:w="1322"/>
        <w:gridCol w:w="1322"/>
        <w:gridCol w:w="1589"/>
      </w:tblGrid>
      <w:tr w14:paraId="755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423" w:type="dxa"/>
            <w:noWrap w:val="0"/>
            <w:vAlign w:val="center"/>
          </w:tcPr>
          <w:p w14:paraId="1C72B867">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货物名称及编号</w:t>
            </w:r>
          </w:p>
        </w:tc>
        <w:tc>
          <w:tcPr>
            <w:tcW w:w="1652" w:type="dxa"/>
            <w:noWrap w:val="0"/>
            <w:vAlign w:val="center"/>
          </w:tcPr>
          <w:p w14:paraId="458C81A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附件及备件、专用工具名称</w:t>
            </w:r>
          </w:p>
        </w:tc>
        <w:tc>
          <w:tcPr>
            <w:tcW w:w="1541" w:type="dxa"/>
            <w:noWrap w:val="0"/>
            <w:vAlign w:val="center"/>
          </w:tcPr>
          <w:p w14:paraId="6199C412">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22" w:type="dxa"/>
            <w:noWrap w:val="0"/>
            <w:vAlign w:val="center"/>
          </w:tcPr>
          <w:p w14:paraId="03ED4A14">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1322" w:type="dxa"/>
            <w:noWrap w:val="0"/>
            <w:vAlign w:val="center"/>
          </w:tcPr>
          <w:p w14:paraId="52FD954E">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包装形式</w:t>
            </w:r>
          </w:p>
        </w:tc>
        <w:tc>
          <w:tcPr>
            <w:tcW w:w="1589" w:type="dxa"/>
            <w:noWrap w:val="0"/>
            <w:vAlign w:val="center"/>
          </w:tcPr>
          <w:p w14:paraId="281EFB8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75C1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3CC4D11">
            <w:pPr>
              <w:shd w:val="clear"/>
              <w:ind w:firstLine="592"/>
              <w:jc w:val="center"/>
              <w:rPr>
                <w:rFonts w:hint="eastAsia" w:ascii="宋体" w:hAnsi="宋体" w:eastAsia="宋体" w:cs="宋体"/>
                <w:color w:val="auto"/>
                <w:highlight w:val="none"/>
              </w:rPr>
            </w:pPr>
          </w:p>
        </w:tc>
        <w:tc>
          <w:tcPr>
            <w:tcW w:w="1652" w:type="dxa"/>
            <w:noWrap w:val="0"/>
            <w:vAlign w:val="center"/>
          </w:tcPr>
          <w:p w14:paraId="54EAF69F">
            <w:pPr>
              <w:shd w:val="clear"/>
              <w:ind w:firstLine="592"/>
              <w:jc w:val="center"/>
              <w:rPr>
                <w:rFonts w:hint="eastAsia" w:ascii="宋体" w:hAnsi="宋体" w:eastAsia="宋体" w:cs="宋体"/>
                <w:color w:val="auto"/>
                <w:highlight w:val="none"/>
              </w:rPr>
            </w:pPr>
          </w:p>
        </w:tc>
        <w:tc>
          <w:tcPr>
            <w:tcW w:w="1541" w:type="dxa"/>
            <w:noWrap w:val="0"/>
            <w:vAlign w:val="center"/>
          </w:tcPr>
          <w:p w14:paraId="79D69DBC">
            <w:pPr>
              <w:shd w:val="clear"/>
              <w:ind w:firstLine="592"/>
              <w:jc w:val="center"/>
              <w:rPr>
                <w:rFonts w:hint="eastAsia" w:ascii="宋体" w:hAnsi="宋体" w:eastAsia="宋体" w:cs="宋体"/>
                <w:color w:val="auto"/>
                <w:highlight w:val="none"/>
              </w:rPr>
            </w:pPr>
          </w:p>
        </w:tc>
        <w:tc>
          <w:tcPr>
            <w:tcW w:w="1322" w:type="dxa"/>
            <w:noWrap w:val="0"/>
            <w:vAlign w:val="center"/>
          </w:tcPr>
          <w:p w14:paraId="5F5EF698">
            <w:pPr>
              <w:shd w:val="clear"/>
              <w:ind w:firstLine="592"/>
              <w:jc w:val="center"/>
              <w:rPr>
                <w:rFonts w:hint="eastAsia" w:ascii="宋体" w:hAnsi="宋体" w:eastAsia="宋体" w:cs="宋体"/>
                <w:color w:val="auto"/>
                <w:highlight w:val="none"/>
              </w:rPr>
            </w:pPr>
          </w:p>
        </w:tc>
        <w:tc>
          <w:tcPr>
            <w:tcW w:w="1322" w:type="dxa"/>
            <w:noWrap w:val="0"/>
            <w:vAlign w:val="center"/>
          </w:tcPr>
          <w:p w14:paraId="0F06966D">
            <w:pPr>
              <w:shd w:val="clear"/>
              <w:ind w:firstLine="592"/>
              <w:jc w:val="center"/>
              <w:rPr>
                <w:rFonts w:hint="eastAsia" w:ascii="宋体" w:hAnsi="宋体" w:eastAsia="宋体" w:cs="宋体"/>
                <w:color w:val="auto"/>
                <w:highlight w:val="none"/>
              </w:rPr>
            </w:pPr>
          </w:p>
        </w:tc>
        <w:tc>
          <w:tcPr>
            <w:tcW w:w="1589" w:type="dxa"/>
            <w:noWrap w:val="0"/>
            <w:vAlign w:val="center"/>
          </w:tcPr>
          <w:p w14:paraId="5FF684EC">
            <w:pPr>
              <w:shd w:val="clear"/>
              <w:ind w:firstLine="592"/>
              <w:jc w:val="center"/>
              <w:rPr>
                <w:rFonts w:hint="eastAsia" w:ascii="宋体" w:hAnsi="宋体" w:eastAsia="宋体" w:cs="宋体"/>
                <w:color w:val="auto"/>
                <w:highlight w:val="none"/>
              </w:rPr>
            </w:pPr>
          </w:p>
        </w:tc>
      </w:tr>
      <w:tr w14:paraId="708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BD569A5">
            <w:pPr>
              <w:shd w:val="clear"/>
              <w:ind w:firstLine="592"/>
              <w:jc w:val="center"/>
              <w:rPr>
                <w:rFonts w:hint="eastAsia" w:ascii="宋体" w:hAnsi="宋体" w:eastAsia="宋体" w:cs="宋体"/>
                <w:color w:val="auto"/>
                <w:highlight w:val="none"/>
              </w:rPr>
            </w:pPr>
          </w:p>
        </w:tc>
        <w:tc>
          <w:tcPr>
            <w:tcW w:w="1652" w:type="dxa"/>
            <w:noWrap w:val="0"/>
            <w:vAlign w:val="center"/>
          </w:tcPr>
          <w:p w14:paraId="5003A1C1">
            <w:pPr>
              <w:shd w:val="clear"/>
              <w:ind w:firstLine="592"/>
              <w:jc w:val="center"/>
              <w:rPr>
                <w:rFonts w:hint="eastAsia" w:ascii="宋体" w:hAnsi="宋体" w:eastAsia="宋体" w:cs="宋体"/>
                <w:color w:val="auto"/>
                <w:highlight w:val="none"/>
              </w:rPr>
            </w:pPr>
          </w:p>
        </w:tc>
        <w:tc>
          <w:tcPr>
            <w:tcW w:w="1541" w:type="dxa"/>
            <w:noWrap w:val="0"/>
            <w:vAlign w:val="center"/>
          </w:tcPr>
          <w:p w14:paraId="144381C6">
            <w:pPr>
              <w:shd w:val="clear"/>
              <w:ind w:firstLine="592"/>
              <w:jc w:val="center"/>
              <w:rPr>
                <w:rFonts w:hint="eastAsia" w:ascii="宋体" w:hAnsi="宋体" w:eastAsia="宋体" w:cs="宋体"/>
                <w:color w:val="auto"/>
                <w:highlight w:val="none"/>
              </w:rPr>
            </w:pPr>
          </w:p>
        </w:tc>
        <w:tc>
          <w:tcPr>
            <w:tcW w:w="1322" w:type="dxa"/>
            <w:noWrap w:val="0"/>
            <w:vAlign w:val="center"/>
          </w:tcPr>
          <w:p w14:paraId="01A67956">
            <w:pPr>
              <w:shd w:val="clear"/>
              <w:ind w:firstLine="592"/>
              <w:jc w:val="center"/>
              <w:rPr>
                <w:rFonts w:hint="eastAsia" w:ascii="宋体" w:hAnsi="宋体" w:eastAsia="宋体" w:cs="宋体"/>
                <w:color w:val="auto"/>
                <w:highlight w:val="none"/>
              </w:rPr>
            </w:pPr>
          </w:p>
        </w:tc>
        <w:tc>
          <w:tcPr>
            <w:tcW w:w="1322" w:type="dxa"/>
            <w:noWrap w:val="0"/>
            <w:vAlign w:val="center"/>
          </w:tcPr>
          <w:p w14:paraId="2D548085">
            <w:pPr>
              <w:shd w:val="clear"/>
              <w:ind w:firstLine="592"/>
              <w:jc w:val="center"/>
              <w:rPr>
                <w:rFonts w:hint="eastAsia" w:ascii="宋体" w:hAnsi="宋体" w:eastAsia="宋体" w:cs="宋体"/>
                <w:color w:val="auto"/>
                <w:highlight w:val="none"/>
              </w:rPr>
            </w:pPr>
          </w:p>
        </w:tc>
        <w:tc>
          <w:tcPr>
            <w:tcW w:w="1589" w:type="dxa"/>
            <w:noWrap w:val="0"/>
            <w:vAlign w:val="center"/>
          </w:tcPr>
          <w:p w14:paraId="4A1C6E50">
            <w:pPr>
              <w:shd w:val="clear"/>
              <w:ind w:firstLine="592"/>
              <w:jc w:val="center"/>
              <w:rPr>
                <w:rFonts w:hint="eastAsia" w:ascii="宋体" w:hAnsi="宋体" w:eastAsia="宋体" w:cs="宋体"/>
                <w:color w:val="auto"/>
                <w:highlight w:val="none"/>
              </w:rPr>
            </w:pPr>
          </w:p>
        </w:tc>
      </w:tr>
      <w:tr w14:paraId="6323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605838">
            <w:pPr>
              <w:shd w:val="clear"/>
              <w:ind w:firstLine="592"/>
              <w:jc w:val="center"/>
              <w:rPr>
                <w:rFonts w:hint="eastAsia" w:ascii="宋体" w:hAnsi="宋体" w:eastAsia="宋体" w:cs="宋体"/>
                <w:color w:val="auto"/>
                <w:highlight w:val="none"/>
              </w:rPr>
            </w:pPr>
          </w:p>
        </w:tc>
        <w:tc>
          <w:tcPr>
            <w:tcW w:w="1652" w:type="dxa"/>
            <w:noWrap w:val="0"/>
            <w:vAlign w:val="center"/>
          </w:tcPr>
          <w:p w14:paraId="68CACA99">
            <w:pPr>
              <w:shd w:val="clear"/>
              <w:ind w:firstLine="592"/>
              <w:jc w:val="center"/>
              <w:rPr>
                <w:rFonts w:hint="eastAsia" w:ascii="宋体" w:hAnsi="宋体" w:eastAsia="宋体" w:cs="宋体"/>
                <w:color w:val="auto"/>
                <w:highlight w:val="none"/>
              </w:rPr>
            </w:pPr>
          </w:p>
        </w:tc>
        <w:tc>
          <w:tcPr>
            <w:tcW w:w="1541" w:type="dxa"/>
            <w:noWrap w:val="0"/>
            <w:vAlign w:val="center"/>
          </w:tcPr>
          <w:p w14:paraId="5B4E5314">
            <w:pPr>
              <w:shd w:val="clear"/>
              <w:ind w:firstLine="592"/>
              <w:jc w:val="center"/>
              <w:rPr>
                <w:rFonts w:hint="eastAsia" w:ascii="宋体" w:hAnsi="宋体" w:eastAsia="宋体" w:cs="宋体"/>
                <w:color w:val="auto"/>
                <w:highlight w:val="none"/>
              </w:rPr>
            </w:pPr>
          </w:p>
        </w:tc>
        <w:tc>
          <w:tcPr>
            <w:tcW w:w="1322" w:type="dxa"/>
            <w:noWrap w:val="0"/>
            <w:vAlign w:val="center"/>
          </w:tcPr>
          <w:p w14:paraId="1E7CAA73">
            <w:pPr>
              <w:shd w:val="clear"/>
              <w:ind w:firstLine="592"/>
              <w:jc w:val="center"/>
              <w:rPr>
                <w:rFonts w:hint="eastAsia" w:ascii="宋体" w:hAnsi="宋体" w:eastAsia="宋体" w:cs="宋体"/>
                <w:color w:val="auto"/>
                <w:highlight w:val="none"/>
              </w:rPr>
            </w:pPr>
          </w:p>
        </w:tc>
        <w:tc>
          <w:tcPr>
            <w:tcW w:w="1322" w:type="dxa"/>
            <w:noWrap w:val="0"/>
            <w:vAlign w:val="center"/>
          </w:tcPr>
          <w:p w14:paraId="63680ACE">
            <w:pPr>
              <w:shd w:val="clear"/>
              <w:ind w:firstLine="592"/>
              <w:jc w:val="center"/>
              <w:rPr>
                <w:rFonts w:hint="eastAsia" w:ascii="宋体" w:hAnsi="宋体" w:eastAsia="宋体" w:cs="宋体"/>
                <w:color w:val="auto"/>
                <w:highlight w:val="none"/>
              </w:rPr>
            </w:pPr>
          </w:p>
        </w:tc>
        <w:tc>
          <w:tcPr>
            <w:tcW w:w="1589" w:type="dxa"/>
            <w:noWrap w:val="0"/>
            <w:vAlign w:val="center"/>
          </w:tcPr>
          <w:p w14:paraId="04F06231">
            <w:pPr>
              <w:shd w:val="clear"/>
              <w:ind w:firstLine="592"/>
              <w:jc w:val="center"/>
              <w:rPr>
                <w:rFonts w:hint="eastAsia" w:ascii="宋体" w:hAnsi="宋体" w:eastAsia="宋体" w:cs="宋体"/>
                <w:color w:val="auto"/>
                <w:highlight w:val="none"/>
              </w:rPr>
            </w:pPr>
          </w:p>
        </w:tc>
      </w:tr>
      <w:tr w14:paraId="78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56666CD">
            <w:pPr>
              <w:shd w:val="clear"/>
              <w:ind w:firstLine="592"/>
              <w:jc w:val="center"/>
              <w:rPr>
                <w:rFonts w:hint="eastAsia" w:ascii="宋体" w:hAnsi="宋体" w:eastAsia="宋体" w:cs="宋体"/>
                <w:color w:val="auto"/>
                <w:highlight w:val="none"/>
              </w:rPr>
            </w:pPr>
          </w:p>
        </w:tc>
        <w:tc>
          <w:tcPr>
            <w:tcW w:w="1652" w:type="dxa"/>
            <w:noWrap w:val="0"/>
            <w:vAlign w:val="center"/>
          </w:tcPr>
          <w:p w14:paraId="2C61D540">
            <w:pPr>
              <w:shd w:val="clear"/>
              <w:ind w:firstLine="592"/>
              <w:jc w:val="center"/>
              <w:rPr>
                <w:rFonts w:hint="eastAsia" w:ascii="宋体" w:hAnsi="宋体" w:eastAsia="宋体" w:cs="宋体"/>
                <w:color w:val="auto"/>
                <w:highlight w:val="none"/>
              </w:rPr>
            </w:pPr>
          </w:p>
        </w:tc>
        <w:tc>
          <w:tcPr>
            <w:tcW w:w="1541" w:type="dxa"/>
            <w:noWrap w:val="0"/>
            <w:vAlign w:val="center"/>
          </w:tcPr>
          <w:p w14:paraId="3BE58185">
            <w:pPr>
              <w:shd w:val="clear"/>
              <w:ind w:firstLine="592"/>
              <w:jc w:val="center"/>
              <w:rPr>
                <w:rFonts w:hint="eastAsia" w:ascii="宋体" w:hAnsi="宋体" w:eastAsia="宋体" w:cs="宋体"/>
                <w:color w:val="auto"/>
                <w:highlight w:val="none"/>
              </w:rPr>
            </w:pPr>
          </w:p>
        </w:tc>
        <w:tc>
          <w:tcPr>
            <w:tcW w:w="1322" w:type="dxa"/>
            <w:noWrap w:val="0"/>
            <w:vAlign w:val="center"/>
          </w:tcPr>
          <w:p w14:paraId="4DFDD504">
            <w:pPr>
              <w:shd w:val="clear"/>
              <w:ind w:firstLine="592"/>
              <w:jc w:val="center"/>
              <w:rPr>
                <w:rFonts w:hint="eastAsia" w:ascii="宋体" w:hAnsi="宋体" w:eastAsia="宋体" w:cs="宋体"/>
                <w:color w:val="auto"/>
                <w:highlight w:val="none"/>
              </w:rPr>
            </w:pPr>
          </w:p>
        </w:tc>
        <w:tc>
          <w:tcPr>
            <w:tcW w:w="1322" w:type="dxa"/>
            <w:noWrap w:val="0"/>
            <w:vAlign w:val="center"/>
          </w:tcPr>
          <w:p w14:paraId="1C8A7DDA">
            <w:pPr>
              <w:shd w:val="clear"/>
              <w:ind w:firstLine="592"/>
              <w:jc w:val="center"/>
              <w:rPr>
                <w:rFonts w:hint="eastAsia" w:ascii="宋体" w:hAnsi="宋体" w:eastAsia="宋体" w:cs="宋体"/>
                <w:color w:val="auto"/>
                <w:highlight w:val="none"/>
              </w:rPr>
            </w:pPr>
          </w:p>
        </w:tc>
        <w:tc>
          <w:tcPr>
            <w:tcW w:w="1589" w:type="dxa"/>
            <w:noWrap w:val="0"/>
            <w:vAlign w:val="center"/>
          </w:tcPr>
          <w:p w14:paraId="68C63BF2">
            <w:pPr>
              <w:shd w:val="clear"/>
              <w:ind w:firstLine="592"/>
              <w:jc w:val="center"/>
              <w:rPr>
                <w:rFonts w:hint="eastAsia" w:ascii="宋体" w:hAnsi="宋体" w:eastAsia="宋体" w:cs="宋体"/>
                <w:color w:val="auto"/>
                <w:highlight w:val="none"/>
              </w:rPr>
            </w:pPr>
          </w:p>
        </w:tc>
      </w:tr>
      <w:tr w14:paraId="73A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149BDAB">
            <w:pPr>
              <w:shd w:val="clear"/>
              <w:ind w:firstLine="592"/>
              <w:jc w:val="center"/>
              <w:rPr>
                <w:rFonts w:hint="eastAsia" w:ascii="宋体" w:hAnsi="宋体" w:eastAsia="宋体" w:cs="宋体"/>
                <w:color w:val="auto"/>
                <w:highlight w:val="none"/>
              </w:rPr>
            </w:pPr>
          </w:p>
        </w:tc>
        <w:tc>
          <w:tcPr>
            <w:tcW w:w="1652" w:type="dxa"/>
            <w:noWrap w:val="0"/>
            <w:vAlign w:val="center"/>
          </w:tcPr>
          <w:p w14:paraId="5250EDE3">
            <w:pPr>
              <w:shd w:val="clear"/>
              <w:ind w:firstLine="592"/>
              <w:jc w:val="center"/>
              <w:rPr>
                <w:rFonts w:hint="eastAsia" w:ascii="宋体" w:hAnsi="宋体" w:eastAsia="宋体" w:cs="宋体"/>
                <w:color w:val="auto"/>
                <w:highlight w:val="none"/>
              </w:rPr>
            </w:pPr>
          </w:p>
        </w:tc>
        <w:tc>
          <w:tcPr>
            <w:tcW w:w="1541" w:type="dxa"/>
            <w:noWrap w:val="0"/>
            <w:vAlign w:val="center"/>
          </w:tcPr>
          <w:p w14:paraId="718F5907">
            <w:pPr>
              <w:shd w:val="clear"/>
              <w:ind w:firstLine="592"/>
              <w:jc w:val="center"/>
              <w:rPr>
                <w:rFonts w:hint="eastAsia" w:ascii="宋体" w:hAnsi="宋体" w:eastAsia="宋体" w:cs="宋体"/>
                <w:color w:val="auto"/>
                <w:highlight w:val="none"/>
              </w:rPr>
            </w:pPr>
          </w:p>
        </w:tc>
        <w:tc>
          <w:tcPr>
            <w:tcW w:w="1322" w:type="dxa"/>
            <w:noWrap w:val="0"/>
            <w:vAlign w:val="center"/>
          </w:tcPr>
          <w:p w14:paraId="15F5EE9F">
            <w:pPr>
              <w:shd w:val="clear"/>
              <w:ind w:firstLine="592"/>
              <w:jc w:val="center"/>
              <w:rPr>
                <w:rFonts w:hint="eastAsia" w:ascii="宋体" w:hAnsi="宋体" w:eastAsia="宋体" w:cs="宋体"/>
                <w:color w:val="auto"/>
                <w:highlight w:val="none"/>
              </w:rPr>
            </w:pPr>
          </w:p>
        </w:tc>
        <w:tc>
          <w:tcPr>
            <w:tcW w:w="1322" w:type="dxa"/>
            <w:noWrap w:val="0"/>
            <w:vAlign w:val="center"/>
          </w:tcPr>
          <w:p w14:paraId="69D52F0C">
            <w:pPr>
              <w:shd w:val="clear"/>
              <w:ind w:firstLine="592"/>
              <w:jc w:val="center"/>
              <w:rPr>
                <w:rFonts w:hint="eastAsia" w:ascii="宋体" w:hAnsi="宋体" w:eastAsia="宋体" w:cs="宋体"/>
                <w:color w:val="auto"/>
                <w:highlight w:val="none"/>
              </w:rPr>
            </w:pPr>
          </w:p>
        </w:tc>
        <w:tc>
          <w:tcPr>
            <w:tcW w:w="1589" w:type="dxa"/>
            <w:noWrap w:val="0"/>
            <w:vAlign w:val="center"/>
          </w:tcPr>
          <w:p w14:paraId="21304DCB">
            <w:pPr>
              <w:shd w:val="clear"/>
              <w:ind w:firstLine="592"/>
              <w:jc w:val="center"/>
              <w:rPr>
                <w:rFonts w:hint="eastAsia" w:ascii="宋体" w:hAnsi="宋体" w:eastAsia="宋体" w:cs="宋体"/>
                <w:color w:val="auto"/>
                <w:highlight w:val="none"/>
              </w:rPr>
            </w:pPr>
          </w:p>
        </w:tc>
      </w:tr>
      <w:tr w14:paraId="4E4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6458E437">
            <w:pPr>
              <w:shd w:val="clear"/>
              <w:ind w:firstLine="592"/>
              <w:jc w:val="center"/>
              <w:rPr>
                <w:rFonts w:hint="eastAsia" w:ascii="宋体" w:hAnsi="宋体" w:eastAsia="宋体" w:cs="宋体"/>
                <w:color w:val="auto"/>
                <w:highlight w:val="none"/>
              </w:rPr>
            </w:pPr>
          </w:p>
        </w:tc>
        <w:tc>
          <w:tcPr>
            <w:tcW w:w="1652" w:type="dxa"/>
            <w:noWrap w:val="0"/>
            <w:vAlign w:val="center"/>
          </w:tcPr>
          <w:p w14:paraId="39191559">
            <w:pPr>
              <w:shd w:val="clear"/>
              <w:ind w:firstLine="592"/>
              <w:jc w:val="center"/>
              <w:rPr>
                <w:rFonts w:hint="eastAsia" w:ascii="宋体" w:hAnsi="宋体" w:eastAsia="宋体" w:cs="宋体"/>
                <w:color w:val="auto"/>
                <w:highlight w:val="none"/>
              </w:rPr>
            </w:pPr>
          </w:p>
        </w:tc>
        <w:tc>
          <w:tcPr>
            <w:tcW w:w="1541" w:type="dxa"/>
            <w:noWrap w:val="0"/>
            <w:vAlign w:val="center"/>
          </w:tcPr>
          <w:p w14:paraId="3C4CA460">
            <w:pPr>
              <w:shd w:val="clear"/>
              <w:ind w:firstLine="592"/>
              <w:jc w:val="center"/>
              <w:rPr>
                <w:rFonts w:hint="eastAsia" w:ascii="宋体" w:hAnsi="宋体" w:eastAsia="宋体" w:cs="宋体"/>
                <w:color w:val="auto"/>
                <w:highlight w:val="none"/>
              </w:rPr>
            </w:pPr>
          </w:p>
        </w:tc>
        <w:tc>
          <w:tcPr>
            <w:tcW w:w="1322" w:type="dxa"/>
            <w:noWrap w:val="0"/>
            <w:vAlign w:val="center"/>
          </w:tcPr>
          <w:p w14:paraId="2FDF370B">
            <w:pPr>
              <w:shd w:val="clear"/>
              <w:ind w:firstLine="592"/>
              <w:jc w:val="center"/>
              <w:rPr>
                <w:rFonts w:hint="eastAsia" w:ascii="宋体" w:hAnsi="宋体" w:eastAsia="宋体" w:cs="宋体"/>
                <w:color w:val="auto"/>
                <w:highlight w:val="none"/>
              </w:rPr>
            </w:pPr>
          </w:p>
        </w:tc>
        <w:tc>
          <w:tcPr>
            <w:tcW w:w="1322" w:type="dxa"/>
            <w:noWrap w:val="0"/>
            <w:vAlign w:val="center"/>
          </w:tcPr>
          <w:p w14:paraId="0056ED2F">
            <w:pPr>
              <w:shd w:val="clear"/>
              <w:ind w:firstLine="592"/>
              <w:jc w:val="center"/>
              <w:rPr>
                <w:rFonts w:hint="eastAsia" w:ascii="宋体" w:hAnsi="宋体" w:eastAsia="宋体" w:cs="宋体"/>
                <w:color w:val="auto"/>
                <w:highlight w:val="none"/>
              </w:rPr>
            </w:pPr>
          </w:p>
        </w:tc>
        <w:tc>
          <w:tcPr>
            <w:tcW w:w="1589" w:type="dxa"/>
            <w:noWrap w:val="0"/>
            <w:vAlign w:val="center"/>
          </w:tcPr>
          <w:p w14:paraId="13F61E4C">
            <w:pPr>
              <w:shd w:val="clear"/>
              <w:ind w:firstLine="592"/>
              <w:jc w:val="center"/>
              <w:rPr>
                <w:rFonts w:hint="eastAsia" w:ascii="宋体" w:hAnsi="宋体" w:eastAsia="宋体" w:cs="宋体"/>
                <w:color w:val="auto"/>
                <w:highlight w:val="none"/>
              </w:rPr>
            </w:pPr>
          </w:p>
        </w:tc>
      </w:tr>
      <w:tr w14:paraId="473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24FD73F">
            <w:pPr>
              <w:shd w:val="clear"/>
              <w:ind w:firstLine="592"/>
              <w:jc w:val="center"/>
              <w:rPr>
                <w:rFonts w:hint="eastAsia" w:ascii="宋体" w:hAnsi="宋体" w:eastAsia="宋体" w:cs="宋体"/>
                <w:color w:val="auto"/>
                <w:highlight w:val="none"/>
              </w:rPr>
            </w:pPr>
          </w:p>
        </w:tc>
        <w:tc>
          <w:tcPr>
            <w:tcW w:w="1652" w:type="dxa"/>
            <w:noWrap w:val="0"/>
            <w:vAlign w:val="center"/>
          </w:tcPr>
          <w:p w14:paraId="048C8353">
            <w:pPr>
              <w:shd w:val="clear"/>
              <w:ind w:firstLine="592"/>
              <w:jc w:val="center"/>
              <w:rPr>
                <w:rFonts w:hint="eastAsia" w:ascii="宋体" w:hAnsi="宋体" w:eastAsia="宋体" w:cs="宋体"/>
                <w:color w:val="auto"/>
                <w:highlight w:val="none"/>
              </w:rPr>
            </w:pPr>
          </w:p>
        </w:tc>
        <w:tc>
          <w:tcPr>
            <w:tcW w:w="1541" w:type="dxa"/>
            <w:noWrap w:val="0"/>
            <w:vAlign w:val="center"/>
          </w:tcPr>
          <w:p w14:paraId="27158D73">
            <w:pPr>
              <w:shd w:val="clear"/>
              <w:ind w:firstLine="592"/>
              <w:jc w:val="center"/>
              <w:rPr>
                <w:rFonts w:hint="eastAsia" w:ascii="宋体" w:hAnsi="宋体" w:eastAsia="宋体" w:cs="宋体"/>
                <w:color w:val="auto"/>
                <w:highlight w:val="none"/>
              </w:rPr>
            </w:pPr>
          </w:p>
        </w:tc>
        <w:tc>
          <w:tcPr>
            <w:tcW w:w="1322" w:type="dxa"/>
            <w:noWrap w:val="0"/>
            <w:vAlign w:val="center"/>
          </w:tcPr>
          <w:p w14:paraId="499D3C0A">
            <w:pPr>
              <w:shd w:val="clear"/>
              <w:ind w:firstLine="592"/>
              <w:jc w:val="center"/>
              <w:rPr>
                <w:rFonts w:hint="eastAsia" w:ascii="宋体" w:hAnsi="宋体" w:eastAsia="宋体" w:cs="宋体"/>
                <w:color w:val="auto"/>
                <w:highlight w:val="none"/>
              </w:rPr>
            </w:pPr>
          </w:p>
        </w:tc>
        <w:tc>
          <w:tcPr>
            <w:tcW w:w="1322" w:type="dxa"/>
            <w:noWrap w:val="0"/>
            <w:vAlign w:val="center"/>
          </w:tcPr>
          <w:p w14:paraId="066E8041">
            <w:pPr>
              <w:shd w:val="clear"/>
              <w:ind w:firstLine="592"/>
              <w:jc w:val="center"/>
              <w:rPr>
                <w:rFonts w:hint="eastAsia" w:ascii="宋体" w:hAnsi="宋体" w:eastAsia="宋体" w:cs="宋体"/>
                <w:color w:val="auto"/>
                <w:highlight w:val="none"/>
              </w:rPr>
            </w:pPr>
          </w:p>
        </w:tc>
        <w:tc>
          <w:tcPr>
            <w:tcW w:w="1589" w:type="dxa"/>
            <w:noWrap w:val="0"/>
            <w:vAlign w:val="center"/>
          </w:tcPr>
          <w:p w14:paraId="15A472A4">
            <w:pPr>
              <w:shd w:val="clear"/>
              <w:ind w:firstLine="592"/>
              <w:jc w:val="center"/>
              <w:rPr>
                <w:rFonts w:hint="eastAsia" w:ascii="宋体" w:hAnsi="宋体" w:eastAsia="宋体" w:cs="宋体"/>
                <w:color w:val="auto"/>
                <w:highlight w:val="none"/>
              </w:rPr>
            </w:pPr>
          </w:p>
        </w:tc>
      </w:tr>
      <w:tr w14:paraId="08A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45E65D">
            <w:pPr>
              <w:shd w:val="clear"/>
              <w:ind w:firstLine="592"/>
              <w:jc w:val="center"/>
              <w:rPr>
                <w:rFonts w:hint="eastAsia" w:ascii="宋体" w:hAnsi="宋体" w:eastAsia="宋体" w:cs="宋体"/>
                <w:color w:val="auto"/>
                <w:highlight w:val="none"/>
              </w:rPr>
            </w:pPr>
          </w:p>
        </w:tc>
        <w:tc>
          <w:tcPr>
            <w:tcW w:w="1652" w:type="dxa"/>
            <w:noWrap w:val="0"/>
            <w:vAlign w:val="center"/>
          </w:tcPr>
          <w:p w14:paraId="72EAC882">
            <w:pPr>
              <w:shd w:val="clear"/>
              <w:ind w:firstLine="592"/>
              <w:jc w:val="center"/>
              <w:rPr>
                <w:rFonts w:hint="eastAsia" w:ascii="宋体" w:hAnsi="宋体" w:eastAsia="宋体" w:cs="宋体"/>
                <w:color w:val="auto"/>
                <w:highlight w:val="none"/>
              </w:rPr>
            </w:pPr>
          </w:p>
        </w:tc>
        <w:tc>
          <w:tcPr>
            <w:tcW w:w="1541" w:type="dxa"/>
            <w:noWrap w:val="0"/>
            <w:vAlign w:val="center"/>
          </w:tcPr>
          <w:p w14:paraId="4B30D28B">
            <w:pPr>
              <w:shd w:val="clear"/>
              <w:ind w:firstLine="592"/>
              <w:jc w:val="center"/>
              <w:rPr>
                <w:rFonts w:hint="eastAsia" w:ascii="宋体" w:hAnsi="宋体" w:eastAsia="宋体" w:cs="宋体"/>
                <w:color w:val="auto"/>
                <w:highlight w:val="none"/>
              </w:rPr>
            </w:pPr>
          </w:p>
        </w:tc>
        <w:tc>
          <w:tcPr>
            <w:tcW w:w="1322" w:type="dxa"/>
            <w:noWrap w:val="0"/>
            <w:vAlign w:val="center"/>
          </w:tcPr>
          <w:p w14:paraId="08AABB82">
            <w:pPr>
              <w:shd w:val="clear"/>
              <w:ind w:firstLine="592"/>
              <w:jc w:val="center"/>
              <w:rPr>
                <w:rFonts w:hint="eastAsia" w:ascii="宋体" w:hAnsi="宋体" w:eastAsia="宋体" w:cs="宋体"/>
                <w:color w:val="auto"/>
                <w:highlight w:val="none"/>
              </w:rPr>
            </w:pPr>
          </w:p>
        </w:tc>
        <w:tc>
          <w:tcPr>
            <w:tcW w:w="1322" w:type="dxa"/>
            <w:noWrap w:val="0"/>
            <w:vAlign w:val="center"/>
          </w:tcPr>
          <w:p w14:paraId="2A8B9E2F">
            <w:pPr>
              <w:shd w:val="clear"/>
              <w:ind w:firstLine="592"/>
              <w:jc w:val="center"/>
              <w:rPr>
                <w:rFonts w:hint="eastAsia" w:ascii="宋体" w:hAnsi="宋体" w:eastAsia="宋体" w:cs="宋体"/>
                <w:color w:val="auto"/>
                <w:highlight w:val="none"/>
              </w:rPr>
            </w:pPr>
          </w:p>
        </w:tc>
        <w:tc>
          <w:tcPr>
            <w:tcW w:w="1589" w:type="dxa"/>
            <w:noWrap w:val="0"/>
            <w:vAlign w:val="center"/>
          </w:tcPr>
          <w:p w14:paraId="5C5D8F04">
            <w:pPr>
              <w:shd w:val="clear"/>
              <w:ind w:firstLine="592"/>
              <w:jc w:val="center"/>
              <w:rPr>
                <w:rFonts w:hint="eastAsia" w:ascii="宋体" w:hAnsi="宋体" w:eastAsia="宋体" w:cs="宋体"/>
                <w:color w:val="auto"/>
                <w:highlight w:val="none"/>
              </w:rPr>
            </w:pPr>
          </w:p>
        </w:tc>
      </w:tr>
      <w:tr w14:paraId="1A0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0ED842D">
            <w:pPr>
              <w:shd w:val="clear"/>
              <w:ind w:firstLine="592"/>
              <w:jc w:val="center"/>
              <w:rPr>
                <w:rFonts w:hint="eastAsia" w:ascii="宋体" w:hAnsi="宋体" w:eastAsia="宋体" w:cs="宋体"/>
                <w:color w:val="auto"/>
                <w:highlight w:val="none"/>
              </w:rPr>
            </w:pPr>
          </w:p>
        </w:tc>
        <w:tc>
          <w:tcPr>
            <w:tcW w:w="1652" w:type="dxa"/>
            <w:noWrap w:val="0"/>
            <w:vAlign w:val="center"/>
          </w:tcPr>
          <w:p w14:paraId="710337F4">
            <w:pPr>
              <w:shd w:val="clear"/>
              <w:ind w:firstLine="592"/>
              <w:jc w:val="center"/>
              <w:rPr>
                <w:rFonts w:hint="eastAsia" w:ascii="宋体" w:hAnsi="宋体" w:eastAsia="宋体" w:cs="宋体"/>
                <w:color w:val="auto"/>
                <w:highlight w:val="none"/>
              </w:rPr>
            </w:pPr>
          </w:p>
        </w:tc>
        <w:tc>
          <w:tcPr>
            <w:tcW w:w="1541" w:type="dxa"/>
            <w:noWrap w:val="0"/>
            <w:vAlign w:val="center"/>
          </w:tcPr>
          <w:p w14:paraId="0AF17FD9">
            <w:pPr>
              <w:shd w:val="clear"/>
              <w:ind w:firstLine="592"/>
              <w:jc w:val="center"/>
              <w:rPr>
                <w:rFonts w:hint="eastAsia" w:ascii="宋体" w:hAnsi="宋体" w:eastAsia="宋体" w:cs="宋体"/>
                <w:color w:val="auto"/>
                <w:highlight w:val="none"/>
              </w:rPr>
            </w:pPr>
          </w:p>
        </w:tc>
        <w:tc>
          <w:tcPr>
            <w:tcW w:w="1322" w:type="dxa"/>
            <w:noWrap w:val="0"/>
            <w:vAlign w:val="center"/>
          </w:tcPr>
          <w:p w14:paraId="1628CF47">
            <w:pPr>
              <w:shd w:val="clear"/>
              <w:ind w:firstLine="592"/>
              <w:jc w:val="center"/>
              <w:rPr>
                <w:rFonts w:hint="eastAsia" w:ascii="宋体" w:hAnsi="宋体" w:eastAsia="宋体" w:cs="宋体"/>
                <w:color w:val="auto"/>
                <w:highlight w:val="none"/>
              </w:rPr>
            </w:pPr>
          </w:p>
        </w:tc>
        <w:tc>
          <w:tcPr>
            <w:tcW w:w="1322" w:type="dxa"/>
            <w:noWrap w:val="0"/>
            <w:vAlign w:val="center"/>
          </w:tcPr>
          <w:p w14:paraId="1449BD9D">
            <w:pPr>
              <w:shd w:val="clear"/>
              <w:ind w:firstLine="592"/>
              <w:jc w:val="center"/>
              <w:rPr>
                <w:rFonts w:hint="eastAsia" w:ascii="宋体" w:hAnsi="宋体" w:eastAsia="宋体" w:cs="宋体"/>
                <w:color w:val="auto"/>
                <w:highlight w:val="none"/>
              </w:rPr>
            </w:pPr>
          </w:p>
        </w:tc>
        <w:tc>
          <w:tcPr>
            <w:tcW w:w="1589" w:type="dxa"/>
            <w:noWrap w:val="0"/>
            <w:vAlign w:val="center"/>
          </w:tcPr>
          <w:p w14:paraId="706C7C89">
            <w:pPr>
              <w:shd w:val="clear"/>
              <w:ind w:firstLine="592"/>
              <w:jc w:val="center"/>
              <w:rPr>
                <w:rFonts w:hint="eastAsia" w:ascii="宋体" w:hAnsi="宋体" w:eastAsia="宋体" w:cs="宋体"/>
                <w:color w:val="auto"/>
                <w:highlight w:val="none"/>
              </w:rPr>
            </w:pPr>
          </w:p>
        </w:tc>
      </w:tr>
      <w:tr w14:paraId="366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21CC917">
            <w:pPr>
              <w:shd w:val="clear"/>
              <w:ind w:firstLine="592"/>
              <w:jc w:val="center"/>
              <w:rPr>
                <w:rFonts w:hint="eastAsia" w:ascii="宋体" w:hAnsi="宋体" w:eastAsia="宋体" w:cs="宋体"/>
                <w:color w:val="auto"/>
                <w:highlight w:val="none"/>
              </w:rPr>
            </w:pPr>
          </w:p>
        </w:tc>
        <w:tc>
          <w:tcPr>
            <w:tcW w:w="1652" w:type="dxa"/>
            <w:noWrap w:val="0"/>
            <w:vAlign w:val="center"/>
          </w:tcPr>
          <w:p w14:paraId="162E7F7F">
            <w:pPr>
              <w:shd w:val="clear"/>
              <w:ind w:firstLine="592"/>
              <w:jc w:val="center"/>
              <w:rPr>
                <w:rFonts w:hint="eastAsia" w:ascii="宋体" w:hAnsi="宋体" w:eastAsia="宋体" w:cs="宋体"/>
                <w:color w:val="auto"/>
                <w:highlight w:val="none"/>
              </w:rPr>
            </w:pPr>
          </w:p>
        </w:tc>
        <w:tc>
          <w:tcPr>
            <w:tcW w:w="1541" w:type="dxa"/>
            <w:noWrap w:val="0"/>
            <w:vAlign w:val="center"/>
          </w:tcPr>
          <w:p w14:paraId="18769E75">
            <w:pPr>
              <w:shd w:val="clear"/>
              <w:ind w:firstLine="592"/>
              <w:jc w:val="center"/>
              <w:rPr>
                <w:rFonts w:hint="eastAsia" w:ascii="宋体" w:hAnsi="宋体" w:eastAsia="宋体" w:cs="宋体"/>
                <w:color w:val="auto"/>
                <w:highlight w:val="none"/>
              </w:rPr>
            </w:pPr>
          </w:p>
        </w:tc>
        <w:tc>
          <w:tcPr>
            <w:tcW w:w="1322" w:type="dxa"/>
            <w:noWrap w:val="0"/>
            <w:vAlign w:val="center"/>
          </w:tcPr>
          <w:p w14:paraId="36B44DEE">
            <w:pPr>
              <w:shd w:val="clear"/>
              <w:ind w:firstLine="592"/>
              <w:jc w:val="center"/>
              <w:rPr>
                <w:rFonts w:hint="eastAsia" w:ascii="宋体" w:hAnsi="宋体" w:eastAsia="宋体" w:cs="宋体"/>
                <w:color w:val="auto"/>
                <w:highlight w:val="none"/>
              </w:rPr>
            </w:pPr>
          </w:p>
        </w:tc>
        <w:tc>
          <w:tcPr>
            <w:tcW w:w="1322" w:type="dxa"/>
            <w:noWrap w:val="0"/>
            <w:vAlign w:val="center"/>
          </w:tcPr>
          <w:p w14:paraId="766C4336">
            <w:pPr>
              <w:shd w:val="clear"/>
              <w:ind w:firstLine="592"/>
              <w:jc w:val="center"/>
              <w:rPr>
                <w:rFonts w:hint="eastAsia" w:ascii="宋体" w:hAnsi="宋体" w:eastAsia="宋体" w:cs="宋体"/>
                <w:color w:val="auto"/>
                <w:highlight w:val="none"/>
              </w:rPr>
            </w:pPr>
          </w:p>
        </w:tc>
        <w:tc>
          <w:tcPr>
            <w:tcW w:w="1589" w:type="dxa"/>
            <w:noWrap w:val="0"/>
            <w:vAlign w:val="center"/>
          </w:tcPr>
          <w:p w14:paraId="5F3335B6">
            <w:pPr>
              <w:shd w:val="clear"/>
              <w:ind w:firstLine="592"/>
              <w:jc w:val="center"/>
              <w:rPr>
                <w:rFonts w:hint="eastAsia" w:ascii="宋体" w:hAnsi="宋体" w:eastAsia="宋体" w:cs="宋体"/>
                <w:color w:val="auto"/>
                <w:highlight w:val="none"/>
              </w:rPr>
            </w:pPr>
          </w:p>
        </w:tc>
      </w:tr>
      <w:tr w14:paraId="1C2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ED79CE8">
            <w:pPr>
              <w:shd w:val="clear"/>
              <w:ind w:firstLine="592"/>
              <w:jc w:val="center"/>
              <w:rPr>
                <w:rFonts w:hint="eastAsia" w:ascii="宋体" w:hAnsi="宋体" w:eastAsia="宋体" w:cs="宋体"/>
                <w:color w:val="auto"/>
                <w:highlight w:val="none"/>
              </w:rPr>
            </w:pPr>
          </w:p>
        </w:tc>
        <w:tc>
          <w:tcPr>
            <w:tcW w:w="1652" w:type="dxa"/>
            <w:noWrap w:val="0"/>
            <w:vAlign w:val="center"/>
          </w:tcPr>
          <w:p w14:paraId="35EDEADC">
            <w:pPr>
              <w:shd w:val="clear"/>
              <w:ind w:firstLine="592"/>
              <w:jc w:val="center"/>
              <w:rPr>
                <w:rFonts w:hint="eastAsia" w:ascii="宋体" w:hAnsi="宋体" w:eastAsia="宋体" w:cs="宋体"/>
                <w:color w:val="auto"/>
                <w:highlight w:val="none"/>
              </w:rPr>
            </w:pPr>
          </w:p>
        </w:tc>
        <w:tc>
          <w:tcPr>
            <w:tcW w:w="1541" w:type="dxa"/>
            <w:noWrap w:val="0"/>
            <w:vAlign w:val="center"/>
          </w:tcPr>
          <w:p w14:paraId="64280FC0">
            <w:pPr>
              <w:shd w:val="clear"/>
              <w:ind w:firstLine="592"/>
              <w:jc w:val="center"/>
              <w:rPr>
                <w:rFonts w:hint="eastAsia" w:ascii="宋体" w:hAnsi="宋体" w:eastAsia="宋体" w:cs="宋体"/>
                <w:color w:val="auto"/>
                <w:highlight w:val="none"/>
              </w:rPr>
            </w:pPr>
          </w:p>
        </w:tc>
        <w:tc>
          <w:tcPr>
            <w:tcW w:w="1322" w:type="dxa"/>
            <w:noWrap w:val="0"/>
            <w:vAlign w:val="center"/>
          </w:tcPr>
          <w:p w14:paraId="675BE4FC">
            <w:pPr>
              <w:shd w:val="clear"/>
              <w:ind w:firstLine="592"/>
              <w:jc w:val="center"/>
              <w:rPr>
                <w:rFonts w:hint="eastAsia" w:ascii="宋体" w:hAnsi="宋体" w:eastAsia="宋体" w:cs="宋体"/>
                <w:color w:val="auto"/>
                <w:highlight w:val="none"/>
              </w:rPr>
            </w:pPr>
          </w:p>
        </w:tc>
        <w:tc>
          <w:tcPr>
            <w:tcW w:w="1322" w:type="dxa"/>
            <w:noWrap w:val="0"/>
            <w:vAlign w:val="center"/>
          </w:tcPr>
          <w:p w14:paraId="629DE6FA">
            <w:pPr>
              <w:shd w:val="clear"/>
              <w:ind w:firstLine="592"/>
              <w:jc w:val="center"/>
              <w:rPr>
                <w:rFonts w:hint="eastAsia" w:ascii="宋体" w:hAnsi="宋体" w:eastAsia="宋体" w:cs="宋体"/>
                <w:color w:val="auto"/>
                <w:highlight w:val="none"/>
              </w:rPr>
            </w:pPr>
          </w:p>
        </w:tc>
        <w:tc>
          <w:tcPr>
            <w:tcW w:w="1589" w:type="dxa"/>
            <w:noWrap w:val="0"/>
            <w:vAlign w:val="center"/>
          </w:tcPr>
          <w:p w14:paraId="1834A922">
            <w:pPr>
              <w:shd w:val="clear"/>
              <w:ind w:firstLine="592"/>
              <w:jc w:val="center"/>
              <w:rPr>
                <w:rFonts w:hint="eastAsia" w:ascii="宋体" w:hAnsi="宋体" w:eastAsia="宋体" w:cs="宋体"/>
                <w:color w:val="auto"/>
                <w:highlight w:val="none"/>
              </w:rPr>
            </w:pPr>
          </w:p>
        </w:tc>
      </w:tr>
      <w:tr w14:paraId="4880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F1B5A49">
            <w:pPr>
              <w:shd w:val="clear"/>
              <w:ind w:firstLine="592"/>
              <w:jc w:val="center"/>
              <w:rPr>
                <w:rFonts w:hint="eastAsia" w:ascii="宋体" w:hAnsi="宋体" w:eastAsia="宋体" w:cs="宋体"/>
                <w:color w:val="auto"/>
                <w:highlight w:val="none"/>
              </w:rPr>
            </w:pPr>
          </w:p>
        </w:tc>
        <w:tc>
          <w:tcPr>
            <w:tcW w:w="1652" w:type="dxa"/>
            <w:noWrap w:val="0"/>
            <w:vAlign w:val="center"/>
          </w:tcPr>
          <w:p w14:paraId="0F4F5E35">
            <w:pPr>
              <w:shd w:val="clear"/>
              <w:ind w:firstLine="592"/>
              <w:jc w:val="center"/>
              <w:rPr>
                <w:rFonts w:hint="eastAsia" w:ascii="宋体" w:hAnsi="宋体" w:eastAsia="宋体" w:cs="宋体"/>
                <w:color w:val="auto"/>
                <w:highlight w:val="none"/>
              </w:rPr>
            </w:pPr>
          </w:p>
        </w:tc>
        <w:tc>
          <w:tcPr>
            <w:tcW w:w="1541" w:type="dxa"/>
            <w:noWrap w:val="0"/>
            <w:vAlign w:val="center"/>
          </w:tcPr>
          <w:p w14:paraId="1835CE32">
            <w:pPr>
              <w:shd w:val="clear"/>
              <w:ind w:firstLine="592"/>
              <w:jc w:val="center"/>
              <w:rPr>
                <w:rFonts w:hint="eastAsia" w:ascii="宋体" w:hAnsi="宋体" w:eastAsia="宋体" w:cs="宋体"/>
                <w:color w:val="auto"/>
                <w:highlight w:val="none"/>
              </w:rPr>
            </w:pPr>
          </w:p>
        </w:tc>
        <w:tc>
          <w:tcPr>
            <w:tcW w:w="1322" w:type="dxa"/>
            <w:noWrap w:val="0"/>
            <w:vAlign w:val="center"/>
          </w:tcPr>
          <w:p w14:paraId="6BFCCABC">
            <w:pPr>
              <w:shd w:val="clear"/>
              <w:ind w:firstLine="592"/>
              <w:jc w:val="center"/>
              <w:rPr>
                <w:rFonts w:hint="eastAsia" w:ascii="宋体" w:hAnsi="宋体" w:eastAsia="宋体" w:cs="宋体"/>
                <w:color w:val="auto"/>
                <w:highlight w:val="none"/>
              </w:rPr>
            </w:pPr>
          </w:p>
        </w:tc>
        <w:tc>
          <w:tcPr>
            <w:tcW w:w="1322" w:type="dxa"/>
            <w:noWrap w:val="0"/>
            <w:vAlign w:val="center"/>
          </w:tcPr>
          <w:p w14:paraId="2D4CB98F">
            <w:pPr>
              <w:shd w:val="clear"/>
              <w:ind w:firstLine="592"/>
              <w:jc w:val="center"/>
              <w:rPr>
                <w:rFonts w:hint="eastAsia" w:ascii="宋体" w:hAnsi="宋体" w:eastAsia="宋体" w:cs="宋体"/>
                <w:color w:val="auto"/>
                <w:highlight w:val="none"/>
              </w:rPr>
            </w:pPr>
          </w:p>
        </w:tc>
        <w:tc>
          <w:tcPr>
            <w:tcW w:w="1589" w:type="dxa"/>
            <w:noWrap w:val="0"/>
            <w:vAlign w:val="center"/>
          </w:tcPr>
          <w:p w14:paraId="1B989320">
            <w:pPr>
              <w:shd w:val="clear"/>
              <w:ind w:firstLine="592"/>
              <w:jc w:val="center"/>
              <w:rPr>
                <w:rFonts w:hint="eastAsia" w:ascii="宋体" w:hAnsi="宋体" w:eastAsia="宋体" w:cs="宋体"/>
                <w:color w:val="auto"/>
                <w:highlight w:val="none"/>
              </w:rPr>
            </w:pPr>
          </w:p>
        </w:tc>
      </w:tr>
      <w:tr w14:paraId="3919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064175">
            <w:pPr>
              <w:shd w:val="clear"/>
              <w:ind w:firstLine="592"/>
              <w:jc w:val="center"/>
              <w:rPr>
                <w:rFonts w:hint="eastAsia" w:ascii="宋体" w:hAnsi="宋体" w:eastAsia="宋体" w:cs="宋体"/>
                <w:color w:val="auto"/>
                <w:highlight w:val="none"/>
              </w:rPr>
            </w:pPr>
          </w:p>
        </w:tc>
        <w:tc>
          <w:tcPr>
            <w:tcW w:w="1652" w:type="dxa"/>
            <w:noWrap w:val="0"/>
            <w:vAlign w:val="center"/>
          </w:tcPr>
          <w:p w14:paraId="6C3A099C">
            <w:pPr>
              <w:shd w:val="clear"/>
              <w:ind w:firstLine="592"/>
              <w:jc w:val="center"/>
              <w:rPr>
                <w:rFonts w:hint="eastAsia" w:ascii="宋体" w:hAnsi="宋体" w:eastAsia="宋体" w:cs="宋体"/>
                <w:color w:val="auto"/>
                <w:highlight w:val="none"/>
              </w:rPr>
            </w:pPr>
          </w:p>
        </w:tc>
        <w:tc>
          <w:tcPr>
            <w:tcW w:w="1541" w:type="dxa"/>
            <w:noWrap w:val="0"/>
            <w:vAlign w:val="center"/>
          </w:tcPr>
          <w:p w14:paraId="2BB35400">
            <w:pPr>
              <w:shd w:val="clear"/>
              <w:ind w:firstLine="592"/>
              <w:jc w:val="center"/>
              <w:rPr>
                <w:rFonts w:hint="eastAsia" w:ascii="宋体" w:hAnsi="宋体" w:eastAsia="宋体" w:cs="宋体"/>
                <w:color w:val="auto"/>
                <w:highlight w:val="none"/>
              </w:rPr>
            </w:pPr>
          </w:p>
        </w:tc>
        <w:tc>
          <w:tcPr>
            <w:tcW w:w="1322" w:type="dxa"/>
            <w:noWrap w:val="0"/>
            <w:vAlign w:val="center"/>
          </w:tcPr>
          <w:p w14:paraId="6F98F199">
            <w:pPr>
              <w:shd w:val="clear"/>
              <w:ind w:firstLine="592"/>
              <w:jc w:val="center"/>
              <w:rPr>
                <w:rFonts w:hint="eastAsia" w:ascii="宋体" w:hAnsi="宋体" w:eastAsia="宋体" w:cs="宋体"/>
                <w:color w:val="auto"/>
                <w:highlight w:val="none"/>
              </w:rPr>
            </w:pPr>
          </w:p>
        </w:tc>
        <w:tc>
          <w:tcPr>
            <w:tcW w:w="1322" w:type="dxa"/>
            <w:noWrap w:val="0"/>
            <w:vAlign w:val="center"/>
          </w:tcPr>
          <w:p w14:paraId="745FD4AA">
            <w:pPr>
              <w:shd w:val="clear"/>
              <w:ind w:firstLine="592"/>
              <w:jc w:val="center"/>
              <w:rPr>
                <w:rFonts w:hint="eastAsia" w:ascii="宋体" w:hAnsi="宋体" w:eastAsia="宋体" w:cs="宋体"/>
                <w:color w:val="auto"/>
                <w:highlight w:val="none"/>
              </w:rPr>
            </w:pPr>
          </w:p>
        </w:tc>
        <w:tc>
          <w:tcPr>
            <w:tcW w:w="1589" w:type="dxa"/>
            <w:noWrap w:val="0"/>
            <w:vAlign w:val="center"/>
          </w:tcPr>
          <w:p w14:paraId="5947C8E4">
            <w:pPr>
              <w:shd w:val="clear"/>
              <w:ind w:firstLine="592"/>
              <w:jc w:val="center"/>
              <w:rPr>
                <w:rFonts w:hint="eastAsia" w:ascii="宋体" w:hAnsi="宋体" w:eastAsia="宋体" w:cs="宋体"/>
                <w:color w:val="auto"/>
                <w:highlight w:val="none"/>
              </w:rPr>
            </w:pPr>
          </w:p>
        </w:tc>
      </w:tr>
    </w:tbl>
    <w:p w14:paraId="6C27774F">
      <w:pPr>
        <w:shd w:val="clea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注：1、投标人可按以上表格形式进行复制，附在投标文件内。</w:t>
      </w:r>
    </w:p>
    <w:p w14:paraId="7959448C">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2、本表所列为随货物所带的附件及备品备件。</w:t>
      </w:r>
    </w:p>
    <w:p w14:paraId="4BD2AE08">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3、货物验收时，实到的随机备品备件的产地等应与此清单一一对应。</w:t>
      </w:r>
    </w:p>
    <w:p w14:paraId="6BD07865">
      <w:pPr>
        <w:pStyle w:val="15"/>
        <w:shd w:val="clear"/>
        <w:spacing w:line="400" w:lineRule="atLeast"/>
        <w:ind w:left="660" w:hanging="660" w:hangingChars="300"/>
        <w:rPr>
          <w:rFonts w:hint="eastAsia" w:ascii="宋体" w:hAnsi="宋体" w:eastAsia="宋体" w:cs="宋体"/>
          <w:color w:val="auto"/>
          <w:sz w:val="22"/>
          <w:szCs w:val="22"/>
          <w:highlight w:val="none"/>
        </w:rPr>
      </w:pPr>
    </w:p>
    <w:p w14:paraId="4C974122">
      <w:pPr>
        <w:pStyle w:val="15"/>
        <w:shd w:val="clear"/>
        <w:spacing w:line="400" w:lineRule="atLeast"/>
        <w:ind w:left="660" w:hanging="660" w:hangingChars="300"/>
        <w:rPr>
          <w:rFonts w:hint="eastAsia" w:ascii="宋体" w:hAnsi="宋体" w:eastAsia="宋体" w:cs="宋体"/>
          <w:color w:val="auto"/>
          <w:sz w:val="22"/>
          <w:szCs w:val="22"/>
          <w:highlight w:val="none"/>
        </w:rPr>
      </w:pPr>
    </w:p>
    <w:p w14:paraId="18E8810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433D57F">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437073B">
      <w:pPr>
        <w:shd w:val="clear"/>
        <w:spacing w:line="380" w:lineRule="exact"/>
        <w:ind w:firstLine="4400" w:firstLineChars="2000"/>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t>日期：  年   月  日</w:t>
      </w:r>
    </w:p>
    <w:p w14:paraId="27987A44">
      <w:pPr>
        <w:shd w:val="clea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A2D9A35">
      <w:pPr>
        <w:pStyle w:val="2"/>
        <w:shd w:val="clear"/>
        <w:spacing w:line="360" w:lineRule="auto"/>
        <w:rPr>
          <w:rFonts w:hint="eastAsia" w:ascii="宋体" w:hAnsi="宋体" w:eastAsia="宋体" w:cs="宋体"/>
          <w:color w:val="auto"/>
          <w:sz w:val="36"/>
          <w:szCs w:val="36"/>
          <w:highlight w:val="none"/>
        </w:rPr>
      </w:pPr>
      <w:bookmarkStart w:id="204" w:name="_Toc19253"/>
      <w:r>
        <w:rPr>
          <w:rFonts w:hint="eastAsia" w:ascii="宋体" w:hAnsi="宋体" w:eastAsia="宋体" w:cs="宋体"/>
          <w:color w:val="auto"/>
          <w:sz w:val="36"/>
          <w:szCs w:val="36"/>
          <w:highlight w:val="none"/>
        </w:rPr>
        <w:t>第四部分  采购内容及要求</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4"/>
      <w:bookmarkStart w:id="205" w:name="_Toc221374633"/>
      <w:bookmarkStart w:id="206" w:name="_Toc221356897"/>
      <w:bookmarkStart w:id="207" w:name="_Toc221356960"/>
    </w:p>
    <w:p w14:paraId="18E934A9">
      <w:pPr>
        <w:keepNext w:val="0"/>
        <w:keepLines w:val="0"/>
        <w:pageBreakBefore w:val="0"/>
        <w:numPr>
          <w:ilvl w:val="0"/>
          <w:numId w:val="0"/>
        </w:numPr>
        <w:shd w:val="clear"/>
        <w:kinsoku/>
        <w:wordWrap/>
        <w:overflowPunct/>
        <w:topLinePunct w:val="0"/>
        <w:autoSpaceDE/>
        <w:autoSpaceDN/>
        <w:bidi w:val="0"/>
        <w:spacing w:line="360" w:lineRule="exact"/>
        <w:rPr>
          <w:rFonts w:hint="eastAsia" w:ascii="宋体" w:hAnsi="宋体" w:eastAsia="宋体" w:cs="宋体"/>
          <w:color w:val="auto"/>
          <w:sz w:val="22"/>
          <w:szCs w:val="22"/>
          <w:highlight w:val="none"/>
          <w:lang w:val="en-US" w:eastAsia="zh-CN"/>
        </w:rPr>
      </w:pPr>
      <w:bookmarkStart w:id="208" w:name="_Toc262049426"/>
      <w:bookmarkStart w:id="209" w:name="_Toc245191321"/>
      <w:bookmarkStart w:id="210" w:name="_Toc239145361"/>
      <w:bookmarkStart w:id="211" w:name="_Toc241404209"/>
      <w:bookmarkStart w:id="212" w:name="_Toc246261272"/>
      <w:bookmarkStart w:id="213" w:name="_Toc245722288"/>
      <w:bookmarkStart w:id="214" w:name="_Toc223716005"/>
      <w:bookmarkStart w:id="215" w:name="_Toc249758872"/>
      <w:bookmarkStart w:id="216" w:name="_Toc262105511"/>
      <w:bookmarkStart w:id="217" w:name="_Toc249758722"/>
      <w:bookmarkStart w:id="218" w:name="_Toc222114886"/>
      <w:bookmarkStart w:id="219" w:name="_Toc221423626"/>
      <w:r>
        <w:rPr>
          <w:rFonts w:hint="eastAsia" w:ascii="宋体" w:hAnsi="宋体" w:eastAsia="宋体" w:cs="宋体"/>
          <w:color w:val="auto"/>
          <w:sz w:val="22"/>
          <w:szCs w:val="22"/>
          <w:highlight w:val="none"/>
          <w:lang w:val="en-US" w:eastAsia="zh-CN"/>
        </w:rPr>
        <w:t>一、项目概况</w:t>
      </w:r>
    </w:p>
    <w:p w14:paraId="286FD47C">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1.采购单位：浙江东方职业技术学院</w:t>
      </w:r>
    </w:p>
    <w:p w14:paraId="4C63CB7E">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监控存储</w:t>
      </w:r>
    </w:p>
    <w:p w14:paraId="50044574">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项目实施背景及基本情况：东职院17年6月份整体搬迁金海校区，期间产教融合楼及11号宿舍楼新建投入，宿舍楼高空抛物及院区围墙覆盖提升，整体校内已有三套安防平台，17年一期平台监控头533个，二期产教融合楼108个，海康二期教育平台437个，合计1078余监控点位，导致人员操作繁琐。23年开始教育部及公安对于监控存储重点部分监控内容要求存储90天，现有监控存储无法满足。24年已完成部分存储扩容海康威视平台440路存储提升至90天，128路大华监控路提升至90天，本次升级全监控存储提升至90天</w:t>
      </w:r>
    </w:p>
    <w:p w14:paraId="4F27BA6C">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4.预算金额</w:t>
      </w:r>
      <w:r>
        <w:rPr>
          <w:rFonts w:hint="eastAsia" w:ascii="宋体" w:hAnsi="宋体" w:eastAsia="宋体" w:cs="宋体"/>
          <w:color w:val="auto"/>
          <w:sz w:val="22"/>
          <w:szCs w:val="22"/>
          <w:highlight w:val="none"/>
          <w:u w:val="single"/>
          <w:lang w:val="en-US" w:eastAsia="zh-CN"/>
        </w:rPr>
        <w:t>35</w:t>
      </w:r>
      <w:r>
        <w:rPr>
          <w:rFonts w:hint="eastAsia" w:ascii="宋体" w:hAnsi="宋体" w:eastAsia="宋体" w:cs="宋体"/>
          <w:color w:val="auto"/>
          <w:sz w:val="22"/>
          <w:szCs w:val="22"/>
          <w:highlight w:val="none"/>
          <w:u w:val="none"/>
          <w:lang w:val="en-US" w:eastAsia="zh-CN"/>
        </w:rPr>
        <w:t>万元。</w:t>
      </w:r>
    </w:p>
    <w:p w14:paraId="45F4ECA6">
      <w:pPr>
        <w:keepNext w:val="0"/>
        <w:keepLines w:val="0"/>
        <w:pageBreakBefore w:val="0"/>
        <w:numPr>
          <w:ilvl w:val="0"/>
          <w:numId w:val="0"/>
        </w:numPr>
        <w:shd w:val="clear"/>
        <w:kinsoku/>
        <w:wordWrap/>
        <w:overflowPunct/>
        <w:topLinePunct w:val="0"/>
        <w:autoSpaceDE/>
        <w:autoSpaceDN/>
        <w:bidi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二、采购标的具体情况</w:t>
      </w:r>
    </w:p>
    <w:p w14:paraId="32B6D669">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rPr>
        <w:t>、数量、规格</w:t>
      </w:r>
      <w:r>
        <w:rPr>
          <w:rFonts w:hint="eastAsia" w:ascii="宋体" w:hAnsi="宋体" w:eastAsia="宋体" w:cs="宋体"/>
          <w:color w:val="auto"/>
          <w:sz w:val="22"/>
          <w:szCs w:val="22"/>
          <w:highlight w:val="none"/>
          <w:lang w:eastAsia="zh-CN"/>
        </w:rPr>
        <w:t>。</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243"/>
        <w:gridCol w:w="658"/>
        <w:gridCol w:w="7165"/>
      </w:tblGrid>
      <w:tr w14:paraId="58AC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9" w:type="pct"/>
            <w:noWrap/>
            <w:vAlign w:val="center"/>
          </w:tcPr>
          <w:p w14:paraId="46B63F8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32" w:type="pct"/>
            <w:noWrap/>
            <w:vAlign w:val="center"/>
          </w:tcPr>
          <w:p w14:paraId="5841F2B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331" w:type="pct"/>
            <w:noWrap/>
            <w:vAlign w:val="center"/>
          </w:tcPr>
          <w:p w14:paraId="564F345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3637" w:type="pct"/>
            <w:noWrap/>
            <w:vAlign w:val="center"/>
          </w:tcPr>
          <w:p w14:paraId="2FBD678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指标</w:t>
            </w:r>
          </w:p>
        </w:tc>
      </w:tr>
      <w:tr w14:paraId="0C27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9" w:type="pct"/>
            <w:noWrap w:val="0"/>
            <w:vAlign w:val="center"/>
          </w:tcPr>
          <w:p w14:paraId="30D4F3EA">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32" w:type="pct"/>
            <w:noWrap w:val="0"/>
            <w:vAlign w:val="center"/>
          </w:tcPr>
          <w:p w14:paraId="63A2E149">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网络存储设备</w:t>
            </w:r>
            <w:r>
              <w:rPr>
                <w:rFonts w:hint="eastAsia" w:ascii="宋体" w:hAnsi="宋体" w:cs="宋体"/>
                <w:b/>
                <w:bCs/>
                <w:i w:val="0"/>
                <w:iCs w:val="0"/>
                <w:color w:val="auto"/>
                <w:kern w:val="0"/>
                <w:sz w:val="22"/>
                <w:szCs w:val="22"/>
                <w:highlight w:val="none"/>
                <w:u w:val="none"/>
                <w:lang w:val="en-US" w:eastAsia="zh-CN" w:bidi="ar"/>
              </w:rPr>
              <w:t>（本项目</w:t>
            </w:r>
            <w:bookmarkStart w:id="221" w:name="_GoBack"/>
            <w:bookmarkEnd w:id="221"/>
            <w:r>
              <w:rPr>
                <w:rFonts w:hint="eastAsia" w:ascii="宋体" w:hAnsi="宋体" w:cs="宋体"/>
                <w:b/>
                <w:bCs/>
                <w:i w:val="0"/>
                <w:iCs w:val="0"/>
                <w:color w:val="auto"/>
                <w:kern w:val="0"/>
                <w:sz w:val="22"/>
                <w:szCs w:val="22"/>
                <w:highlight w:val="none"/>
                <w:u w:val="none"/>
                <w:lang w:val="en-US" w:eastAsia="zh-CN" w:bidi="ar"/>
              </w:rPr>
              <w:t>核心产品）</w:t>
            </w:r>
          </w:p>
        </w:tc>
        <w:tc>
          <w:tcPr>
            <w:tcW w:w="331" w:type="pct"/>
            <w:noWrap w:val="0"/>
            <w:vAlign w:val="center"/>
          </w:tcPr>
          <w:p w14:paraId="526058E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637" w:type="pct"/>
            <w:noWrap w:val="0"/>
            <w:vAlign w:val="center"/>
          </w:tcPr>
          <w:p w14:paraId="34C0283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1、4U 36盘位，机架式网络存储设备，含36块8TB硬盘</w:t>
            </w:r>
          </w:p>
          <w:p w14:paraId="2A1FE92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2、设备配置≥64位多核处理器，标配8GB内存，内置EMMC系统盘和IOT企业级硬盘，硬盘数量可按需配置，最大可配置36块。</w:t>
            </w:r>
          </w:p>
          <w:p w14:paraId="0C10E4D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3、标配1个RS232串口/CONSOLE接口，1个VGA接口，1个HDMI接口，2个USB2.0接口，2个USB3.0接口，3个2.5G网口，1个2.5G管理网口，1个Esata接口，采用可热插拔1+1AC220V电源。</w:t>
            </w:r>
          </w:p>
          <w:p w14:paraId="6AEEF647">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4、视频性能：最大支持接入450路（最大接入带宽900Mbps）</w:t>
            </w:r>
          </w:p>
          <w:p w14:paraId="6CA2DC8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5、回放性能：最大支持45路2Mbps</w:t>
            </w:r>
          </w:p>
          <w:p w14:paraId="328F83A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6、事件录像：最大支持200路2Mbps</w:t>
            </w:r>
          </w:p>
          <w:p w14:paraId="323435BA">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7、支持ONVIF、GB/T 28181、RTSP等标准协议</w:t>
            </w:r>
          </w:p>
          <w:p w14:paraId="29DFA96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8、支持视频检索功能，按照监控点编号、录像类型、时间组合等条件查询可通过IE浏览器设置RAID组为RAID0、RAID1、RAID5、RAID6、RAID10、RAID50、VRAID模式，并支持RAID即建即用。</w:t>
            </w:r>
          </w:p>
          <w:p w14:paraId="0BFA29D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支持视频回放功能：正序回放、定位回放、倍速回放等功能支持录像存储过程中加入特殊字段，防止录像被篡改或伪造，以保证录像的原始性及完整性。可对录像的某个时间点添加标签，并可进行查询、回放、下载。</w:t>
            </w:r>
          </w:p>
          <w:p w14:paraId="5EBF556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10、可将接入样机的网络设备的IP地址、端口号等信息以excel形式进行导入导出。</w:t>
            </w:r>
          </w:p>
          <w:p w14:paraId="21A1F45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★11、应能预录报警触发前1-40min的视频录像。</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307F28D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★12、RAID模式下，当RAID内某一块硬盘发生故障，更换该硬盘或热备盘替换时，可自动进行RAID重构。当RAID处于降级或重构状态下，不影响数据写入。且存储的数据不丢失。</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2351078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★13、支持创建最大7个录像池，录像池的容量可自由划分。</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tc>
      </w:tr>
      <w:tr w14:paraId="75FB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9" w:type="pct"/>
            <w:noWrap w:val="0"/>
            <w:vAlign w:val="center"/>
          </w:tcPr>
          <w:p w14:paraId="7D5EAEB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32" w:type="pct"/>
            <w:noWrap w:val="0"/>
            <w:vAlign w:val="center"/>
          </w:tcPr>
          <w:p w14:paraId="6FDE72D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网络硬盘录像机</w:t>
            </w:r>
          </w:p>
        </w:tc>
        <w:tc>
          <w:tcPr>
            <w:tcW w:w="331" w:type="pct"/>
            <w:noWrap w:val="0"/>
            <w:vAlign w:val="center"/>
          </w:tcPr>
          <w:p w14:paraId="0B59D89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637" w:type="pct"/>
            <w:noWrap w:val="0"/>
            <w:vAlign w:val="center"/>
          </w:tcPr>
          <w:p w14:paraId="774859E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1、4U机架式36盘位网络硬盘录像机，整机采用短机箱设计，搭载1+1冗余电源</w:t>
            </w:r>
          </w:p>
          <w:p w14:paraId="363EC2E4">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2、具有4个HDMI接口、2个VGA接口、1组HDMI环通接口包含1个HDMI IN和1个HDMI OUT、4个RJ45 2.5Gbps网络接口、2个SFP千兆光口、2个USB2.0接口、4个USB3.0接口、1个RS232接口、2个RS485接口（可接入RS485键盘）、1个eSATA接口、1+1冗余电源；具有1路音频输入接口、2路音频输出接口、32路报警输入接口、16路报警输出接口，可内置36块SATA接口硬盘</w:t>
            </w:r>
          </w:p>
          <w:p w14:paraId="25E1F07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★3、支持最大接入带宽1280Mbps，最大存储带宽1280Mbps，最大转发带宽1024Mbps</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28D0B79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★4、设备支持分组管理，支持将接入的视频通道按分组管理；支持以分组方式进行预览、回放和检索；自定义视图支持以分组方式拖动通道进行配置。</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4BAD6BB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★5、切片回放功能，支持按月、日、小时维度进行切片展示，按月最大支持30个切片，按日最大支持24个切片，按时最大支持60个切片。</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266037B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6、支持预览时对实时视频流进行手动打标签，通过标签检索可以检索到相关的录像片段。</w:t>
            </w:r>
          </w:p>
          <w:p w14:paraId="01205E5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7、支持预览的单窗口轮巡，设备支持在多画面的固定窗口上进行轮巡预览，其他预览窗口不轮巡。</w:t>
            </w:r>
          </w:p>
          <w:p w14:paraId="67633257">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8、支持查看在线用户信息，包括用户名、用户类型、IP地址和用户最后操作时间等维护信息。</w:t>
            </w:r>
          </w:p>
          <w:p w14:paraId="18C8901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9、支持网络广播音频设备（包括网络音响）的接入，支持以POE方式接入网络广播。</w:t>
            </w:r>
          </w:p>
          <w:p w14:paraId="4D3FFDC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10、支持网络广播绑定视频通道，支持以通道方式对绑定后的视频通道和网络广播进行对讲。</w:t>
            </w:r>
          </w:p>
          <w:p w14:paraId="72D56A4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11、支持音频设备与视频设备独立管理，支持网络拾音器的接入、校时；最大16路音频设备管理</w:t>
            </w:r>
          </w:p>
          <w:p w14:paraId="0A3BCC08">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12、支持音视频动态调整组合分配功能，可将任一路音频与任一路视频组合成复合流编码</w:t>
            </w:r>
          </w:p>
          <w:p w14:paraId="7AE01ED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★13、支持前端IPC证书二次校验机制，未通过证书校验的IPC不允许添加到NVR</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7BAF98C9">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14、支持网络端口扫描行为预警，可自动封禁IP，并上报预警，支持远程下发IP拦截。</w:t>
            </w:r>
          </w:p>
        </w:tc>
      </w:tr>
      <w:tr w14:paraId="5332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9" w:type="pct"/>
            <w:noWrap w:val="0"/>
            <w:vAlign w:val="center"/>
          </w:tcPr>
          <w:p w14:paraId="7398DEF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32" w:type="pct"/>
            <w:noWrap w:val="0"/>
            <w:vAlign w:val="center"/>
          </w:tcPr>
          <w:p w14:paraId="2E759048">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网络硬盘录像机</w:t>
            </w:r>
          </w:p>
        </w:tc>
        <w:tc>
          <w:tcPr>
            <w:tcW w:w="331" w:type="pct"/>
            <w:noWrap w:val="0"/>
            <w:vAlign w:val="center"/>
          </w:tcPr>
          <w:p w14:paraId="07804F93">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637" w:type="pct"/>
            <w:noWrap w:val="0"/>
            <w:vAlign w:val="center"/>
          </w:tcPr>
          <w:p w14:paraId="0572365F">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1、1.5U机架式4盘位嵌入式网络硬盘录像机，采用短机箱设计，搭载高性能ATX电源</w:t>
            </w:r>
          </w:p>
          <w:p w14:paraId="694E0E68">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2、具有1个HDMI接口、1个VGA接口、2个千兆以太网口、3个USB2.0接口（其中2个为前置）、内置4个SATA硬盘接口；1路RCA音频输入接口、1路RCA音频输出接口；16路报警输入接口、4路报警输出接口。</w:t>
            </w:r>
          </w:p>
          <w:p w14:paraId="2CEE6967">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3、最大接入路数：≥16路，满负载条件下的最大接入带宽≥160Mbps、最大存储带宽≥128Mbps、最大转发带宽≥128Mbps。</w:t>
            </w:r>
          </w:p>
          <w:p w14:paraId="064DA65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4、显示输出分辨率具有1024×768/60Hz、1280×720/60Hz、1280×1024/60Hz、1600×1200/60Hz、1920×1080/60Hz、2560×1440/60Hz、4K(3840×2160)/30Hz、4K(4096×2160)/30Hz设置选项。</w:t>
            </w:r>
          </w:p>
          <w:p w14:paraId="5AB2330A">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★5、可同时显示输出10路H.265/H.264编码、25fps、1920×1080格式的视频图像。</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1BD7C8A9">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★6、支持开启SVC解码功能，可同时回放5路400W分辨率、H.264/H.265编码格式的视频图像，解码总资源为10个1920×1080格式的视频图像。</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4DA80020">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7、录像文件自带水印，水印包括设备的序列号、MAC地址、录像时间等。</w:t>
            </w:r>
          </w:p>
          <w:p w14:paraId="7DC54E5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8、网络容错：可将多个网口设置同一IP地址，其中任一网口损坏时，仍能正常工作；</w:t>
            </w:r>
          </w:p>
          <w:p w14:paraId="150B501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可自动搜索局域网内IPC，并查看IPC设备型号、固件版本、序列号等信息。可对IPC的参数配置进行修改，可设置曝光、日夜转换、背光、图像增强、分辨率、码率、帧率、字符叠加、隐私遮盖等；并支持将IPC参数配置到其他通道。</w:t>
            </w:r>
          </w:p>
          <w:p w14:paraId="67E48D2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★10、支持接入高级移动侦测的相机，移动侦测报警能够区分是人、车还是其它目标产生，可录像和记录报警信息；</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00BE885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★11、接入警戒摄像机，支持对IPC的声音和闪光参数进行配置， 支持通过移动侦测、区域入侵、越界侦测、进入区域和离开区域事件联动一个或多个IPC的声光报警，可以对声光联动一键撤防。</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tc>
      </w:tr>
      <w:tr w14:paraId="7BFC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9" w:type="pct"/>
            <w:noWrap w:val="0"/>
            <w:vAlign w:val="center"/>
          </w:tcPr>
          <w:p w14:paraId="725C7FC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32" w:type="pct"/>
            <w:noWrap w:val="0"/>
            <w:vAlign w:val="center"/>
          </w:tcPr>
          <w:p w14:paraId="02E93F2D">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硬盘</w:t>
            </w:r>
          </w:p>
        </w:tc>
        <w:tc>
          <w:tcPr>
            <w:tcW w:w="331" w:type="pct"/>
            <w:noWrap w:val="0"/>
            <w:vAlign w:val="center"/>
          </w:tcPr>
          <w:p w14:paraId="6F81847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637" w:type="pct"/>
            <w:noWrap w:val="0"/>
            <w:vAlign w:val="center"/>
          </w:tcPr>
          <w:p w14:paraId="6CE3F3A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1、6TB容量，3.5英寸，SATA3.0接口，</w:t>
            </w:r>
          </w:p>
          <w:p w14:paraId="09E5F6FE">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2、转速：≥5400RPM</w:t>
            </w:r>
          </w:p>
          <w:p w14:paraId="39A89CA0">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3、缓存：≥256MB</w:t>
            </w:r>
          </w:p>
          <w:p w14:paraId="484BD47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4、传输速率180MB/s，流畅存储视频有效防止丢帧</w:t>
            </w:r>
          </w:p>
          <w:p w14:paraId="2F42AFE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5、满足数据严苛的7*24小时运行可靠性、安全性的需求</w:t>
            </w:r>
          </w:p>
          <w:p w14:paraId="6E794BCD">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6、支持3年有限质保服务</w:t>
            </w:r>
          </w:p>
        </w:tc>
      </w:tr>
      <w:tr w14:paraId="29FC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9" w:type="pct"/>
            <w:noWrap w:val="0"/>
            <w:vAlign w:val="center"/>
          </w:tcPr>
          <w:p w14:paraId="7B491774">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32" w:type="pct"/>
            <w:noWrap w:val="0"/>
            <w:vAlign w:val="center"/>
          </w:tcPr>
          <w:p w14:paraId="13427E27">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接入平台模块</w:t>
            </w:r>
          </w:p>
        </w:tc>
        <w:tc>
          <w:tcPr>
            <w:tcW w:w="331" w:type="pct"/>
            <w:noWrap w:val="0"/>
            <w:vAlign w:val="center"/>
          </w:tcPr>
          <w:p w14:paraId="74560A5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37" w:type="pct"/>
            <w:noWrap w:val="0"/>
            <w:vAlign w:val="center"/>
          </w:tcPr>
          <w:p w14:paraId="6C9C76F4">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【功能介绍】</w:t>
            </w:r>
          </w:p>
          <w:p w14:paraId="746D9B4F">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一、视频预览</w:t>
            </w:r>
          </w:p>
          <w:p w14:paraId="79A5FAB0">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1、支持视频实时预览能力，实现预览窗口布局切换、预览画面自适应及全屏切换；</w:t>
            </w:r>
          </w:p>
          <w:p w14:paraId="53C37968">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2、支持云台控制、实时抓图、紧急录像、即时回放、主子码流切换、声音开启\关闭、辅屏预览（1个辅屏）、对讲、广播、报警输出控制的能力；</w:t>
            </w:r>
          </w:p>
          <w:p w14:paraId="61E56AC7">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3、支持智能规则展示的能力（如：针对热成像设备温度信息实时展示）；</w:t>
            </w:r>
          </w:p>
          <w:p w14:paraId="6778064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4、支持资源视图管理能力，以视图形式管理监控点、视频预览轮巡等自定义资源组，其中视图类型包含公有视图和私有视图；</w:t>
            </w:r>
          </w:p>
          <w:p w14:paraId="05245B44">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5、支持全景视频监控预览能力，支持球型鹰眼、全景摄像机的全景模式；</w:t>
            </w:r>
          </w:p>
          <w:p w14:paraId="6F325010">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二、录像回放</w:t>
            </w:r>
          </w:p>
          <w:p w14:paraId="1FA0E65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1、支持录像计划管理能力，支持实时录像计划、录像回传计划；</w:t>
            </w:r>
          </w:p>
          <w:p w14:paraId="7761355F">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2、支持录像回放能力，支持多画面同步回放和异步回放切换、超高倍速回放、分段回放、录像下载、录像剪辑、录像标签、录像锁定、录像抓图；</w:t>
            </w:r>
          </w:p>
          <w:p w14:paraId="125C538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三、图片监控</w:t>
            </w:r>
          </w:p>
          <w:p w14:paraId="7C5C107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1、支持视频预览与图片实时监控模式切换能力，实现图片监控模式；</w:t>
            </w:r>
          </w:p>
          <w:p w14:paraId="3900D539">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2、支持图片查询回放能力，实现按监控点、时间段展示抓拍图片；</w:t>
            </w:r>
          </w:p>
          <w:p w14:paraId="0C88A2B7">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3、支持图片自动播放能力，支持图片自动播放速度可设置；</w:t>
            </w:r>
          </w:p>
          <w:p w14:paraId="730BBD6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4、支持图片下载能力；</w:t>
            </w:r>
          </w:p>
          <w:p w14:paraId="61B13E94">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四、视频上墙</w:t>
            </w:r>
          </w:p>
          <w:p w14:paraId="22C04D72">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1、支持电视墙场景管理能力，实现场景窗口配置、场景切换计划配置以及轮巡计划的管理；</w:t>
            </w:r>
          </w:p>
          <w:p w14:paraId="501249A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2、支持上墙控制能力，实现场景一键上墙、场景切换、电视墙切换、监控点上下墙、轮巡控制操作；</w:t>
            </w:r>
          </w:p>
          <w:p w14:paraId="32A0C0C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五、视频事件</w:t>
            </w:r>
          </w:p>
          <w:p w14:paraId="0F988F60">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1、支持视频事件布撤防能力，可按计划模版进行布防，事件类型包括移动侦测、视频丢失、视频遮挡、报警输入、报警输出；</w:t>
            </w:r>
          </w:p>
          <w:p w14:paraId="3D392FC9">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【规格参数】</w:t>
            </w:r>
          </w:p>
          <w:p w14:paraId="5A4AAE95">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★1、要求监控点最多管理容量为1000000路</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75DC301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要求支持录像标签功能，支持搜索、修改、删除标签，并可通过标签定位录像并回放。</w:t>
            </w:r>
          </w:p>
          <w:p w14:paraId="5B1B860B">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★2、支持电视墙管理数量100个，监控点上墙出图像耗时小于3秒。</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5B60E6E8">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3、支持大屏控制，可对大屏进行1/4/9/16/25分屏、拼接、开窗、窗口漫游的操作，通过客户端支持电视墙开窗后支持分割，并可将大屏分屏配置另保存为场景。</w:t>
            </w:r>
          </w:p>
          <w:p w14:paraId="587760B6">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4、要求支持通过数据同步工具同步postgresql数据库到平台。</w:t>
            </w:r>
          </w:p>
          <w:p w14:paraId="62FF528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支持人员信息采集，可对人脸照片质量进行评价（合格/不合格），采集方式包括：①通过多功能采集仪在线采集人脸、指纹、身份证信息；②在公网或内网环境下，通过APP（H5）实现人脸照片采集；③通过人证比对设备实现离线或在线采集人脸照片；④通过平台批量导入人脸照片，并验证人脸照片命名、大小和质量是否符合要求</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07708FF9">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6、支持验证码、连续登陆尝试次数、用户IP地址限制等多种验证方式。</w:t>
            </w:r>
          </w:p>
          <w:p w14:paraId="0061499D">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7、支持登录密码强度提醒，用户密码强度设置。</w:t>
            </w:r>
          </w:p>
          <w:p w14:paraId="1AD78FE0">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8、要求支持根据用户使用习惯自定义配置快捷功能入口，支持首页投放大屏展示，支持最近7天每日的用户活跃数统计。</w:t>
            </w:r>
          </w:p>
          <w:p w14:paraId="1B2802AC">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9、要求支持以中心管理服务为核心的网络拓扑结构，支持对系统中的分组、服务器、组件等统计概览、查看。</w:t>
            </w:r>
          </w:p>
          <w:p w14:paraId="74D222C1">
            <w:pPr>
              <w:keepNext w:val="0"/>
              <w:keepLines w:val="0"/>
              <w:pageBreakBefore w:val="0"/>
              <w:widowControl/>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★10、要求支持多色彩展示运行告警状态，支持告警统计、概览、处理，支持告警记录查看、查询，支持告警单条、批量处理；支持系统最近7天每日告警数统计，支持评分量化系统监控指数，显示系统运行状态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b/>
                <w:bCs/>
                <w:i w:val="0"/>
                <w:iCs w:val="0"/>
                <w:color w:val="auto"/>
                <w:kern w:val="0"/>
                <w:sz w:val="22"/>
                <w:szCs w:val="22"/>
                <w:highlight w:val="none"/>
                <w:u w:val="none"/>
                <w:lang w:val="en-US" w:eastAsia="zh-CN" w:bidi="ar"/>
              </w:rPr>
              <w:t>（提供具有CMA或CNAS标识的第三方检测报告复印件并加盖投标人公章）</w:t>
            </w:r>
          </w:p>
          <w:p w14:paraId="407B70FE">
            <w:pPr>
              <w:keepNext w:val="0"/>
              <w:keepLines w:val="0"/>
              <w:pageBreakBefore w:val="0"/>
              <w:widowControl/>
              <w:numPr>
                <w:ilvl w:val="0"/>
                <w:numId w:val="14"/>
              </w:numPr>
              <w:suppressLineNumbers w:val="0"/>
              <w:shd w:val="clear"/>
              <w:kinsoku/>
              <w:wordWrap/>
              <w:overflowPunct/>
              <w:topLinePunct w:val="0"/>
              <w:autoSpaceDE/>
              <w:autoSpaceDN/>
              <w:bidi w:val="0"/>
              <w:spacing w:before="0" w:beforeAutospacing="0" w:afterAutospacing="0" w:line="360" w:lineRule="exact"/>
              <w:ind w:left="0" w:right="0"/>
              <w:jc w:val="left"/>
              <w:textAlignment w:val="center"/>
              <w:rPr>
                <w:rFonts w:hint="eastAsia" w:ascii="宋体" w:hAnsi="宋体" w:eastAsia="宋体" w:cs="宋体"/>
                <w:i w:val="0"/>
                <w:iCs w:val="0"/>
                <w:color w:val="auto"/>
                <w:sz w:val="22"/>
                <w:szCs w:val="22"/>
                <w:highlight w:val="none"/>
                <w:u w:val="none"/>
              </w:rPr>
            </w:pPr>
            <w:r>
              <w:rPr>
                <w:rStyle w:val="57"/>
                <w:rFonts w:hint="eastAsia" w:ascii="宋体" w:hAnsi="宋体" w:eastAsia="宋体" w:cs="宋体"/>
                <w:color w:val="auto"/>
                <w:sz w:val="22"/>
                <w:szCs w:val="22"/>
                <w:highlight w:val="none"/>
                <w:lang w:val="en-US" w:eastAsia="zh-CN" w:bidi="ar"/>
              </w:rPr>
              <w:t>产品服务及功能演示</w:t>
            </w:r>
            <w:r>
              <w:rPr>
                <w:rStyle w:val="57"/>
                <w:rFonts w:hint="eastAsia" w:ascii="宋体" w:hAnsi="宋体" w:eastAsia="宋体" w:cs="宋体"/>
                <w:color w:val="auto"/>
                <w:sz w:val="22"/>
                <w:szCs w:val="22"/>
                <w:highlight w:val="none"/>
                <w:lang w:val="en-US" w:eastAsia="zh-CN" w:bidi="ar"/>
              </w:rPr>
              <w:br w:type="textWrapping"/>
            </w:r>
            <w:r>
              <w:rPr>
                <w:rStyle w:val="57"/>
                <w:rFonts w:hint="eastAsia" w:ascii="宋体" w:hAnsi="宋体" w:eastAsia="宋体" w:cs="宋体"/>
                <w:color w:val="auto"/>
                <w:sz w:val="22"/>
                <w:szCs w:val="22"/>
                <w:highlight w:val="none"/>
                <w:lang w:val="en-US" w:eastAsia="zh-CN" w:bidi="ar"/>
              </w:rPr>
              <w:t>1、为实现监控系统统一管理，原监控平台摄像头需无缝接入原有高校安全管理平台，以便统一管理，因原监控平台系统存在不稳定性对接工作需在中标后3天内完成。若对接过程中产生定制费用，由中标方承担，采购方不在增加额外费用；</w:t>
            </w:r>
            <w:r>
              <w:rPr>
                <w:rStyle w:val="57"/>
                <w:rFonts w:hint="eastAsia" w:ascii="宋体" w:hAnsi="宋体" w:eastAsia="宋体" w:cs="宋体"/>
                <w:color w:val="auto"/>
                <w:sz w:val="22"/>
                <w:szCs w:val="22"/>
                <w:highlight w:val="none"/>
                <w:lang w:val="en-US" w:eastAsia="zh-CN" w:bidi="ar"/>
              </w:rPr>
              <w:br w:type="textWrapping"/>
            </w:r>
            <w:r>
              <w:rPr>
                <w:rStyle w:val="57"/>
                <w:rFonts w:hint="eastAsia" w:ascii="宋体" w:hAnsi="宋体" w:eastAsia="宋体" w:cs="宋体"/>
                <w:color w:val="auto"/>
                <w:sz w:val="22"/>
                <w:szCs w:val="22"/>
                <w:highlight w:val="none"/>
                <w:lang w:val="en-US" w:eastAsia="zh-CN" w:bidi="ar"/>
              </w:rPr>
              <w:t>2、包含安调调试费，安装调试费用不单列，硬件质保及售后服务三年</w:t>
            </w:r>
          </w:p>
          <w:p w14:paraId="5D92DE1D">
            <w:pPr>
              <w:keepNext w:val="0"/>
              <w:keepLines w:val="0"/>
              <w:pageBreakBefore w:val="0"/>
              <w:numPr>
                <w:ilvl w:val="0"/>
                <w:numId w:val="0"/>
              </w:numPr>
              <w:suppressLineNumbers w:val="0"/>
              <w:shd w:val="clear"/>
              <w:kinsoku/>
              <w:wordWrap/>
              <w:overflowPunct/>
              <w:topLinePunct w:val="0"/>
              <w:autoSpaceDE/>
              <w:autoSpaceDN/>
              <w:bidi w:val="0"/>
              <w:adjustRightInd w:val="0"/>
              <w:snapToGrid w:val="0"/>
              <w:spacing w:before="0" w:beforeAutospacing="0" w:afterAutospacing="0" w:line="360" w:lineRule="exact"/>
              <w:ind w:left="0" w:leftChars="0" w:right="0" w:rightChars="0"/>
              <w:rPr>
                <w:rStyle w:val="57"/>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3、</w:t>
            </w:r>
            <w:r>
              <w:rPr>
                <w:rFonts w:hint="eastAsia" w:ascii="宋体" w:hAnsi="宋体" w:eastAsia="宋体" w:cs="宋体"/>
                <w:b/>
                <w:bCs/>
                <w:color w:val="auto"/>
                <w:kern w:val="2"/>
                <w:sz w:val="22"/>
                <w:szCs w:val="22"/>
                <w:highlight w:val="none"/>
                <w:lang w:val="en-US" w:eastAsia="zh-CN" w:bidi="ar"/>
              </w:rPr>
              <w:t>（功能演示）</w:t>
            </w:r>
            <w:r>
              <w:rPr>
                <w:rStyle w:val="57"/>
                <w:rFonts w:hint="eastAsia" w:ascii="宋体" w:hAnsi="宋体" w:eastAsia="宋体" w:cs="宋体"/>
                <w:color w:val="auto"/>
                <w:sz w:val="22"/>
                <w:szCs w:val="22"/>
                <w:highlight w:val="none"/>
                <w:lang w:val="en-US" w:eastAsia="zh-CN" w:bidi="ar"/>
              </w:rPr>
              <w:t>供应商演示内容需为真人操作软件录制的视频进行，以PPT、非真人操作软件录制的视频、图片等视同未演示，本项不得分；演示内容如下：</w:t>
            </w:r>
          </w:p>
          <w:p w14:paraId="5C2F58B3">
            <w:pPr>
              <w:keepNext w:val="0"/>
              <w:keepLines w:val="0"/>
              <w:pageBreakBefore w:val="0"/>
              <w:numPr>
                <w:ilvl w:val="0"/>
                <w:numId w:val="0"/>
              </w:numPr>
              <w:suppressLineNumbers w:val="0"/>
              <w:shd w:val="clear"/>
              <w:kinsoku/>
              <w:wordWrap/>
              <w:overflowPunct/>
              <w:topLinePunct w:val="0"/>
              <w:autoSpaceDE/>
              <w:autoSpaceDN/>
              <w:bidi w:val="0"/>
              <w:adjustRightInd w:val="0"/>
              <w:snapToGrid w:val="0"/>
              <w:spacing w:before="0" w:beforeAutospacing="0" w:afterAutospacing="0" w:line="360" w:lineRule="exact"/>
              <w:ind w:left="0" w:right="0" w:rightChars="0"/>
              <w:rPr>
                <w:rFonts w:hint="eastAsia" w:ascii="宋体" w:hAnsi="宋体" w:eastAsia="宋体" w:cs="宋体"/>
                <w:i w:val="0"/>
                <w:iCs w:val="0"/>
                <w:color w:val="auto"/>
                <w:kern w:val="0"/>
                <w:sz w:val="22"/>
                <w:szCs w:val="22"/>
                <w:highlight w:val="none"/>
                <w:u w:val="none"/>
                <w:lang w:val="en-US" w:eastAsia="zh-CN" w:bidi="ar"/>
              </w:rPr>
            </w:pPr>
            <w:r>
              <w:rPr>
                <w:rStyle w:val="57"/>
                <w:rFonts w:hint="eastAsia" w:ascii="宋体" w:hAnsi="宋体" w:eastAsia="宋体" w:cs="宋体"/>
                <w:color w:val="auto"/>
                <w:sz w:val="22"/>
                <w:szCs w:val="22"/>
                <w:highlight w:val="none"/>
                <w:lang w:val="en-US" w:eastAsia="zh-CN" w:bidi="ar"/>
              </w:rPr>
              <w:t>3.1演示接入平台模块</w:t>
            </w:r>
            <w:r>
              <w:rPr>
                <w:rFonts w:hint="eastAsia" w:ascii="宋体" w:hAnsi="宋体" w:eastAsia="宋体" w:cs="宋体"/>
                <w:i w:val="0"/>
                <w:iCs w:val="0"/>
                <w:color w:val="auto"/>
                <w:kern w:val="0"/>
                <w:sz w:val="22"/>
                <w:szCs w:val="22"/>
                <w:highlight w:val="none"/>
                <w:u w:val="none"/>
                <w:lang w:val="en-US" w:eastAsia="zh-CN" w:bidi="ar"/>
              </w:rPr>
              <w:t>支持创建最大7个录像池，录像池的容量可自由划分。</w:t>
            </w:r>
          </w:p>
          <w:p w14:paraId="6E2F15BA">
            <w:pPr>
              <w:keepNext w:val="0"/>
              <w:keepLines w:val="0"/>
              <w:pageBreakBefore w:val="0"/>
              <w:numPr>
                <w:ilvl w:val="0"/>
                <w:numId w:val="0"/>
              </w:numPr>
              <w:suppressLineNumbers w:val="0"/>
              <w:shd w:val="clear"/>
              <w:kinsoku/>
              <w:wordWrap/>
              <w:overflowPunct/>
              <w:topLinePunct w:val="0"/>
              <w:autoSpaceDE/>
              <w:autoSpaceDN/>
              <w:bidi w:val="0"/>
              <w:adjustRightInd w:val="0"/>
              <w:snapToGrid w:val="0"/>
              <w:spacing w:before="0" w:beforeAutospacing="0" w:afterAutospacing="0" w:line="360" w:lineRule="exact"/>
              <w:ind w:left="0" w:right="0" w:rightChars="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w:t>
            </w:r>
            <w:r>
              <w:rPr>
                <w:rStyle w:val="57"/>
                <w:rFonts w:hint="eastAsia" w:ascii="宋体" w:hAnsi="宋体" w:eastAsia="宋体" w:cs="宋体"/>
                <w:color w:val="auto"/>
                <w:sz w:val="22"/>
                <w:szCs w:val="22"/>
                <w:highlight w:val="none"/>
                <w:lang w:val="en-US" w:eastAsia="zh-CN" w:bidi="ar"/>
              </w:rPr>
              <w:t>演示接入平台模块</w:t>
            </w:r>
            <w:r>
              <w:rPr>
                <w:rFonts w:hint="eastAsia" w:ascii="宋体" w:hAnsi="宋体" w:eastAsia="宋体" w:cs="宋体"/>
                <w:i w:val="0"/>
                <w:iCs w:val="0"/>
                <w:color w:val="auto"/>
                <w:kern w:val="0"/>
                <w:sz w:val="22"/>
                <w:szCs w:val="22"/>
                <w:highlight w:val="none"/>
                <w:u w:val="none"/>
                <w:lang w:val="en-US" w:eastAsia="zh-CN" w:bidi="ar"/>
              </w:rPr>
              <w:t>设备支持分组管理，支持将接入的视频通道按分组管理；支持以分组方式进行预览、回放和检索</w:t>
            </w:r>
          </w:p>
          <w:p w14:paraId="407B9E30">
            <w:pPr>
              <w:keepNext w:val="0"/>
              <w:keepLines w:val="0"/>
              <w:pageBreakBefore w:val="0"/>
              <w:numPr>
                <w:ilvl w:val="0"/>
                <w:numId w:val="0"/>
              </w:numPr>
              <w:suppressLineNumbers w:val="0"/>
              <w:shd w:val="clear"/>
              <w:kinsoku/>
              <w:wordWrap/>
              <w:overflowPunct/>
              <w:topLinePunct w:val="0"/>
              <w:autoSpaceDE/>
              <w:autoSpaceDN/>
              <w:bidi w:val="0"/>
              <w:adjustRightInd w:val="0"/>
              <w:snapToGrid w:val="0"/>
              <w:spacing w:before="0" w:beforeAutospacing="0" w:afterAutospacing="0" w:line="360" w:lineRule="exact"/>
              <w:ind w:left="0" w:right="0" w:rightChars="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r>
              <w:rPr>
                <w:rStyle w:val="57"/>
                <w:rFonts w:hint="eastAsia" w:ascii="宋体" w:hAnsi="宋体" w:eastAsia="宋体" w:cs="宋体"/>
                <w:color w:val="auto"/>
                <w:sz w:val="22"/>
                <w:szCs w:val="22"/>
                <w:highlight w:val="none"/>
                <w:lang w:val="en-US" w:eastAsia="zh-CN" w:bidi="ar"/>
              </w:rPr>
              <w:t>演示接入平台模块</w:t>
            </w:r>
            <w:r>
              <w:rPr>
                <w:rFonts w:hint="eastAsia" w:ascii="宋体" w:hAnsi="宋体" w:eastAsia="宋体" w:cs="宋体"/>
                <w:i w:val="0"/>
                <w:iCs w:val="0"/>
                <w:color w:val="auto"/>
                <w:kern w:val="0"/>
                <w:sz w:val="22"/>
                <w:szCs w:val="22"/>
                <w:highlight w:val="none"/>
                <w:u w:val="none"/>
                <w:lang w:val="en-US" w:eastAsia="zh-CN" w:bidi="ar"/>
              </w:rPr>
              <w:t>切片回放功能，支持按月、日、小时维度进行切片展示，按月最大支持30个切片，按日最大支持24个切片，按时最大支持60个切片。</w:t>
            </w:r>
          </w:p>
          <w:p w14:paraId="5656326C">
            <w:pPr>
              <w:keepNext w:val="0"/>
              <w:keepLines w:val="0"/>
              <w:pageBreakBefore w:val="0"/>
              <w:numPr>
                <w:ilvl w:val="0"/>
                <w:numId w:val="0"/>
              </w:numPr>
              <w:suppressLineNumbers w:val="0"/>
              <w:shd w:val="clear"/>
              <w:kinsoku/>
              <w:wordWrap/>
              <w:overflowPunct/>
              <w:topLinePunct w:val="0"/>
              <w:autoSpaceDE/>
              <w:autoSpaceDN/>
              <w:bidi w:val="0"/>
              <w:adjustRightInd w:val="0"/>
              <w:snapToGrid w:val="0"/>
              <w:spacing w:before="0" w:beforeAutospacing="0" w:afterAutospacing="0" w:line="360" w:lineRule="exact"/>
              <w:ind w:left="0" w:right="0" w:rightChars="0"/>
              <w:rPr>
                <w:rStyle w:val="57"/>
                <w:rFonts w:hint="eastAsia" w:ascii="宋体" w:hAnsi="宋体" w:eastAsia="宋体" w:cs="宋体"/>
                <w:color w:val="auto"/>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r>
              <w:rPr>
                <w:rStyle w:val="57"/>
                <w:rFonts w:hint="eastAsia" w:ascii="宋体" w:hAnsi="宋体" w:eastAsia="宋体" w:cs="宋体"/>
                <w:color w:val="auto"/>
                <w:sz w:val="22"/>
                <w:szCs w:val="22"/>
                <w:highlight w:val="none"/>
                <w:lang w:val="en-US" w:eastAsia="zh-CN" w:bidi="ar"/>
              </w:rPr>
              <w:t>演示接入平台模块支持</w:t>
            </w:r>
            <w:r>
              <w:rPr>
                <w:rFonts w:hint="eastAsia" w:ascii="宋体" w:hAnsi="宋体" w:eastAsia="宋体" w:cs="宋体"/>
                <w:i w:val="0"/>
                <w:iCs w:val="0"/>
                <w:color w:val="auto"/>
                <w:kern w:val="0"/>
                <w:sz w:val="22"/>
                <w:szCs w:val="22"/>
                <w:highlight w:val="none"/>
                <w:u w:val="none"/>
                <w:lang w:val="en-US" w:eastAsia="zh-CN" w:bidi="ar"/>
              </w:rPr>
              <w:t>多色彩展示运行告警状态，支持告警统计、概览、处理，支持告警记录查看、查询，支持告警单条、批量处理；</w:t>
            </w:r>
          </w:p>
        </w:tc>
      </w:tr>
    </w:tbl>
    <w:p w14:paraId="01D308E3">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需实现的功能或者目标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监控存储天数提升至90天。</w:t>
      </w:r>
    </w:p>
    <w:p w14:paraId="26B03B1F">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3.需执行的国家相关标准、行业标准、地方标准或者其他标准、规范：满足采购人要求，符合国家及行业现行相关标准。</w:t>
      </w:r>
    </w:p>
    <w:p w14:paraId="0D1702C3">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需满足的质量、安全、技术规格、物理特性等要求；</w:t>
      </w:r>
    </w:p>
    <w:p w14:paraId="6A5A83E7">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质量要求：达到国家现行质量验收合格规范。</w:t>
      </w:r>
    </w:p>
    <w:p w14:paraId="32A00786">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技术规格完全满足采购人要求。</w:t>
      </w:r>
    </w:p>
    <w:p w14:paraId="1EF04395">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采购项目交付或者实施的时间和地点；</w:t>
      </w:r>
    </w:p>
    <w:p w14:paraId="01B635DC">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交付或者实施</w:t>
      </w:r>
      <w:r>
        <w:rPr>
          <w:rFonts w:hint="eastAsia" w:ascii="宋体" w:hAnsi="宋体" w:eastAsia="宋体" w:cs="宋体"/>
          <w:color w:val="auto"/>
          <w:sz w:val="22"/>
          <w:szCs w:val="22"/>
          <w:highlight w:val="none"/>
          <w:lang w:val="en-US" w:eastAsia="zh-CN"/>
        </w:rPr>
        <w:t>时间：于2025年11月30日前完成本项目供货、安装并交付使用，具体交付时间及验收时间以采购人要求为准。</w:t>
      </w:r>
    </w:p>
    <w:p w14:paraId="4429FF2F">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交付或者实施</w:t>
      </w:r>
      <w:r>
        <w:rPr>
          <w:rFonts w:hint="eastAsia" w:ascii="宋体" w:hAnsi="宋体" w:eastAsia="宋体" w:cs="宋体"/>
          <w:color w:val="auto"/>
          <w:sz w:val="22"/>
          <w:szCs w:val="22"/>
          <w:highlight w:val="none"/>
          <w:lang w:val="en-US" w:eastAsia="zh-CN"/>
        </w:rPr>
        <w:t xml:space="preserve">地点：浙江东方职业技术学院滨海校区    </w:t>
      </w:r>
    </w:p>
    <w:p w14:paraId="77B59BE1">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rPr>
        <w:t>需满足的服务标准、期限、效率等要求；</w:t>
      </w:r>
    </w:p>
    <w:p w14:paraId="2CDA2DAD">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设备质保期三年。</w:t>
      </w:r>
    </w:p>
    <w:p w14:paraId="386304D6">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 7×24 小时应急响应服务，故障响应时间不超过</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小时，一般故障</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小时内修复，重大故障</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小时内解决，确保监控存储系统持续稳定运行。​</w:t>
      </w:r>
    </w:p>
    <w:p w14:paraId="25276807">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定期开展系统巡检服务，每月至少</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次现场巡检，检查设备运行状态、存储空间使用情况、数据备份完整性等，及时发现并排除潜在隐患。​</w:t>
      </w:r>
    </w:p>
    <w:p w14:paraId="51AA6AD8">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严格遵守数据安全相关法律法规，建立数据备份与恢复机制，确保数据在遭遇意外时可快速恢复，同时明确数据使用权限，防止信息泄露。</w:t>
      </w:r>
    </w:p>
    <w:p w14:paraId="65415542">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7.售后服务及验收标准：依据国家有关标准、合同及相关附件要求进行验收。</w:t>
      </w:r>
    </w:p>
    <w:p w14:paraId="46EBBE06">
      <w:pPr>
        <w:keepNext w:val="0"/>
        <w:keepLines w:val="0"/>
        <w:pageBreakBefore w:val="0"/>
        <w:numPr>
          <w:ilvl w:val="0"/>
          <w:numId w:val="0"/>
        </w:numPr>
        <w:shd w:val="clear"/>
        <w:kinsoku/>
        <w:wordWrap/>
        <w:overflowPunct/>
        <w:topLinePunct w:val="0"/>
        <w:autoSpaceDE/>
        <w:autoSpaceDN/>
        <w:bidi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8.其他技术、服务等要求。</w:t>
      </w:r>
    </w:p>
    <w:p w14:paraId="441A1DDC">
      <w:pPr>
        <w:shd w:val="clear"/>
        <w:rPr>
          <w:rFonts w:hint="eastAsia" w:ascii="宋体" w:hAnsi="宋体" w:eastAsia="宋体" w:cs="宋体"/>
          <w:color w:val="auto"/>
          <w:sz w:val="22"/>
          <w:szCs w:val="22"/>
          <w:highlight w:val="none"/>
        </w:rPr>
      </w:pPr>
    </w:p>
    <w:p w14:paraId="4D05B380">
      <w:pPr>
        <w:shd w:val="clea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6EC424D7">
      <w:pPr>
        <w:shd w:val="clear"/>
        <w:tabs>
          <w:tab w:val="left" w:pos="540"/>
        </w:tabs>
        <w:spacing w:line="360" w:lineRule="auto"/>
        <w:jc w:val="center"/>
        <w:outlineLvl w:val="0"/>
        <w:rPr>
          <w:rFonts w:hint="eastAsia" w:ascii="宋体" w:hAnsi="宋体" w:eastAsia="宋体" w:cs="宋体"/>
          <w:b/>
          <w:bCs/>
          <w:color w:val="auto"/>
          <w:sz w:val="36"/>
          <w:szCs w:val="36"/>
          <w:highlight w:val="none"/>
        </w:rPr>
      </w:pPr>
      <w:bookmarkStart w:id="220" w:name="_Toc2078"/>
      <w:r>
        <w:rPr>
          <w:rFonts w:hint="eastAsia" w:ascii="宋体" w:hAnsi="宋体" w:eastAsia="宋体" w:cs="宋体"/>
          <w:b/>
          <w:bCs/>
          <w:color w:val="auto"/>
          <w:sz w:val="36"/>
          <w:szCs w:val="36"/>
          <w:highlight w:val="none"/>
        </w:rPr>
        <w:t>第五部分  评标原则及方法</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5C64928">
      <w:pPr>
        <w:shd w:val="clear"/>
        <w:tabs>
          <w:tab w:val="left" w:pos="2880"/>
        </w:tabs>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根据《温州市市属国有企业采购管理办法》等相关法规特制定以下评标办法。</w:t>
      </w:r>
    </w:p>
    <w:p w14:paraId="52F189E0">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一、总  则</w:t>
      </w:r>
    </w:p>
    <w:p w14:paraId="17434A71">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0B8B9264">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二、评标组织</w:t>
      </w:r>
    </w:p>
    <w:p w14:paraId="047BC8CB">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评标工作由采购人依法组建的评标委员会负责，评标全过程由有关部门指导监督。</w:t>
      </w:r>
    </w:p>
    <w:p w14:paraId="1BD2CBA5">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三、评标办法</w:t>
      </w:r>
    </w:p>
    <w:p w14:paraId="00DB3FC1">
      <w:pPr>
        <w:shd w:val="clear"/>
        <w:adjustRightInd w:val="0"/>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本次采购采用百分制综合评分法，即在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技术资信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0分、报价分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0分。</w:t>
      </w:r>
    </w:p>
    <w:p w14:paraId="7629752D">
      <w:pPr>
        <w:pStyle w:val="15"/>
        <w:widowControl w:val="0"/>
        <w:shd w:val="clear"/>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投标截止时间止及评审期间，出现有效投标人不足法定投标家数的，应按流标处理。另根据《温州市市属国有企业采购管理办法》第三十六条规定，可以按原采购方式继续进行采购活动，但采购项目第一次评审活动除外。</w:t>
      </w:r>
    </w:p>
    <w:p w14:paraId="2F8123AE">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四、评分细则</w:t>
      </w:r>
    </w:p>
    <w:p w14:paraId="08429179">
      <w:pPr>
        <w:shd w:val="clea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1、技术资信分的评定</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0分） </w:t>
      </w:r>
    </w:p>
    <w:p w14:paraId="7CD37877">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技术资信评分由评委成员按下列评分细则中的评分项目进行统一评判打分，并记名。评标委员会对各投标人评分的算术平均值为各投标人的技术资信分最终得分（小数点后按四舍五入保留2位）。</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128"/>
        <w:gridCol w:w="911"/>
        <w:gridCol w:w="7128"/>
      </w:tblGrid>
      <w:tr w14:paraId="7D92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Align w:val="center"/>
          </w:tcPr>
          <w:p w14:paraId="57C15F32">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572" w:type="pct"/>
            <w:vAlign w:val="center"/>
          </w:tcPr>
          <w:p w14:paraId="306DE5A5">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评审项目</w:t>
            </w:r>
          </w:p>
        </w:tc>
        <w:tc>
          <w:tcPr>
            <w:tcW w:w="462" w:type="pct"/>
            <w:vAlign w:val="center"/>
          </w:tcPr>
          <w:p w14:paraId="030FB4AD">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3616" w:type="pct"/>
            <w:vAlign w:val="center"/>
          </w:tcPr>
          <w:p w14:paraId="0C92FA23">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r>
      <w:tr w14:paraId="1A0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Align w:val="center"/>
          </w:tcPr>
          <w:p w14:paraId="02F90EE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72" w:type="pct"/>
            <w:vAlign w:val="center"/>
          </w:tcPr>
          <w:p w14:paraId="27BDA9EF">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投标人资质、资信等</w:t>
            </w:r>
          </w:p>
        </w:tc>
        <w:tc>
          <w:tcPr>
            <w:tcW w:w="462" w:type="pct"/>
            <w:vAlign w:val="center"/>
          </w:tcPr>
          <w:p w14:paraId="322CEC8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3616" w:type="pct"/>
            <w:vAlign w:val="center"/>
          </w:tcPr>
          <w:p w14:paraId="007AB217">
            <w:pPr>
              <w:shd w:val="clear"/>
              <w:spacing w:line="360" w:lineRule="exact"/>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1、根据投标人的资质资信、</w:t>
            </w:r>
            <w:r>
              <w:rPr>
                <w:rFonts w:hint="eastAsia" w:ascii="宋体" w:hAnsi="宋体" w:eastAsia="宋体" w:cs="宋体"/>
                <w:color w:val="auto"/>
                <w:kern w:val="0"/>
                <w:sz w:val="22"/>
                <w:szCs w:val="22"/>
                <w:highlight w:val="none"/>
              </w:rPr>
              <w:t>获奖和荣誉情况</w:t>
            </w:r>
            <w:r>
              <w:rPr>
                <w:rFonts w:hint="eastAsia" w:ascii="宋体" w:hAnsi="宋体" w:eastAsia="宋体" w:cs="宋体"/>
                <w:color w:val="auto"/>
                <w:sz w:val="22"/>
                <w:szCs w:val="22"/>
                <w:highlight w:val="none"/>
              </w:rPr>
              <w:t>等（不包括投标人的注册资本、资产总额、营业收入、从业人员、利润、纳税额等规模条件）</w:t>
            </w:r>
            <w:r>
              <w:rPr>
                <w:rFonts w:hint="eastAsia" w:ascii="宋体" w:hAnsi="宋体" w:eastAsia="宋体" w:cs="宋体"/>
                <w:color w:val="auto"/>
                <w:kern w:val="0"/>
                <w:sz w:val="22"/>
                <w:szCs w:val="22"/>
                <w:highlight w:val="none"/>
              </w:rPr>
              <w:t>，由评标委员会打分</w:t>
            </w:r>
            <w:r>
              <w:rPr>
                <w:rFonts w:hint="eastAsia" w:ascii="宋体" w:hAnsi="宋体" w:eastAsia="宋体" w:cs="宋体"/>
                <w:snapToGrid w:val="0"/>
                <w:color w:val="auto"/>
                <w:sz w:val="22"/>
                <w:szCs w:val="22"/>
                <w:highlight w:val="none"/>
              </w:rPr>
              <w:t>。</w:t>
            </w:r>
            <w:r>
              <w:rPr>
                <w:rFonts w:hint="eastAsia" w:ascii="宋体" w:hAnsi="宋体" w:eastAsia="宋体" w:cs="宋体"/>
                <w:color w:val="auto"/>
                <w:sz w:val="22"/>
                <w:szCs w:val="22"/>
                <w:highlight w:val="none"/>
              </w:rPr>
              <w:t>（评分范围：2；1；0）</w:t>
            </w:r>
            <w:r>
              <w:rPr>
                <w:rFonts w:hint="eastAsia" w:ascii="宋体" w:hAnsi="宋体" w:eastAsia="宋体" w:cs="宋体"/>
                <w:b/>
                <w:bCs/>
                <w:color w:val="auto"/>
                <w:sz w:val="22"/>
                <w:szCs w:val="22"/>
                <w:highlight w:val="none"/>
              </w:rPr>
              <w:t>注：为便于评审，需提供有效证书或证明材料复印件加盖投标人公章。</w:t>
            </w:r>
          </w:p>
          <w:p w14:paraId="7E0ED4EC">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2、投标人具备有效的</w:t>
            </w:r>
            <w:r>
              <w:rPr>
                <w:rFonts w:hint="eastAsia" w:ascii="宋体" w:hAnsi="宋体" w:eastAsia="宋体" w:cs="宋体"/>
                <w:bCs/>
                <w:color w:val="auto"/>
                <w:sz w:val="22"/>
                <w:szCs w:val="22"/>
                <w:highlight w:val="none"/>
              </w:rPr>
              <w:t>ISO9001</w:t>
            </w:r>
            <w:r>
              <w:rPr>
                <w:rFonts w:hint="eastAsia" w:ascii="宋体" w:hAnsi="宋体" w:eastAsia="宋体" w:cs="宋体"/>
                <w:color w:val="auto"/>
                <w:sz w:val="22"/>
                <w:szCs w:val="22"/>
                <w:highlight w:val="none"/>
              </w:rPr>
              <w:t>质量管理体系认证证书的得1分；具备有效的ISO27001信息安全管理体系认证证书的得1分；具备有效的ISO20000信息技术服务管理体系认证证书的得1分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具备有效的</w:t>
            </w:r>
            <w:r>
              <w:rPr>
                <w:rFonts w:hint="eastAsia" w:ascii="宋体" w:hAnsi="宋体" w:eastAsia="宋体" w:cs="宋体"/>
                <w:color w:val="auto"/>
                <w:sz w:val="22"/>
                <w:szCs w:val="22"/>
                <w:highlight w:val="none"/>
                <w:lang w:eastAsia="zh-CN"/>
              </w:rPr>
              <w:t>信息系统安全等级保护三级认证及以上</w:t>
            </w:r>
            <w:r>
              <w:rPr>
                <w:rFonts w:hint="eastAsia" w:ascii="宋体" w:hAnsi="宋体" w:eastAsia="宋体" w:cs="宋体"/>
                <w:color w:val="auto"/>
                <w:sz w:val="22"/>
                <w:szCs w:val="22"/>
                <w:highlight w:val="none"/>
              </w:rPr>
              <w:t>证书的得1分。</w:t>
            </w:r>
            <w:r>
              <w:rPr>
                <w:rFonts w:hint="eastAsia" w:ascii="宋体" w:hAnsi="宋体" w:eastAsia="宋体" w:cs="宋体"/>
                <w:b/>
                <w:color w:val="auto"/>
                <w:sz w:val="22"/>
                <w:szCs w:val="22"/>
                <w:highlight w:val="none"/>
              </w:rPr>
              <w:t>注：须提供证书</w:t>
            </w:r>
            <w:r>
              <w:rPr>
                <w:rFonts w:hint="eastAsia" w:ascii="宋体" w:hAnsi="宋体" w:eastAsia="宋体" w:cs="宋体"/>
                <w:b/>
                <w:bCs/>
                <w:color w:val="auto"/>
                <w:sz w:val="22"/>
                <w:szCs w:val="22"/>
                <w:highlight w:val="none"/>
              </w:rPr>
              <w:t>复印件加盖投标人公章</w:t>
            </w:r>
            <w:r>
              <w:rPr>
                <w:rFonts w:hint="eastAsia" w:ascii="宋体" w:hAnsi="宋体" w:eastAsia="宋体" w:cs="宋体"/>
                <w:b/>
                <w:color w:val="auto"/>
                <w:sz w:val="22"/>
                <w:szCs w:val="22"/>
                <w:highlight w:val="none"/>
              </w:rPr>
              <w:t>，没有不得分。</w:t>
            </w:r>
          </w:p>
        </w:tc>
      </w:tr>
      <w:tr w14:paraId="4878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Align w:val="center"/>
          </w:tcPr>
          <w:p w14:paraId="4285283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2" w:type="pct"/>
            <w:vAlign w:val="center"/>
          </w:tcPr>
          <w:p w14:paraId="0964ACA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类似项目业绩</w:t>
            </w:r>
          </w:p>
        </w:tc>
        <w:tc>
          <w:tcPr>
            <w:tcW w:w="462" w:type="pct"/>
            <w:vAlign w:val="center"/>
          </w:tcPr>
          <w:p w14:paraId="763F96D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3616" w:type="pct"/>
            <w:vAlign w:val="center"/>
          </w:tcPr>
          <w:p w14:paraId="008ACE10">
            <w:pPr>
              <w:shd w:val="clea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根据投标人2022年1月1日（以合同签订时间为准）至今承担过类似项目业绩的，提供1个业绩合同得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680FFD5F">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注：须提供完整合同复印件加盖投标人公章，否则不得分。</w:t>
            </w:r>
          </w:p>
        </w:tc>
      </w:tr>
      <w:tr w14:paraId="6A9D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Align w:val="center"/>
          </w:tcPr>
          <w:p w14:paraId="43ECDEE2">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72" w:type="pct"/>
            <w:shd w:val="clear" w:color="auto" w:fill="auto"/>
            <w:vAlign w:val="center"/>
          </w:tcPr>
          <w:p w14:paraId="712F6A60">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关键技术</w:t>
            </w:r>
          </w:p>
        </w:tc>
        <w:tc>
          <w:tcPr>
            <w:tcW w:w="462" w:type="pct"/>
            <w:shd w:val="clear" w:color="auto" w:fill="auto"/>
            <w:vAlign w:val="center"/>
          </w:tcPr>
          <w:p w14:paraId="4310E2C1">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3616" w:type="pct"/>
            <w:shd w:val="clear" w:color="auto" w:fill="auto"/>
            <w:vAlign w:val="center"/>
          </w:tcPr>
          <w:p w14:paraId="79D7E5F2">
            <w:pPr>
              <w:shd w:val="clear"/>
              <w:spacing w:line="3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根据投标人所投产品配置及技术参数的符合性打分：</w:t>
            </w:r>
            <w:r>
              <w:rPr>
                <w:rFonts w:hint="eastAsia" w:ascii="宋体" w:hAnsi="宋体" w:eastAsia="宋体" w:cs="宋体"/>
                <w:color w:val="auto"/>
                <w:sz w:val="22"/>
                <w:szCs w:val="22"/>
                <w:highlight w:val="none"/>
                <w:lang w:val="en-US" w:eastAsia="zh-CN"/>
              </w:rPr>
              <w:t>满分2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rPr>
              <w:t>每“★”负偏离一项扣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分，其他参数每负偏离一项扣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r>
              <w:rPr>
                <w:rFonts w:hint="eastAsia" w:ascii="宋体" w:hAnsi="宋体" w:eastAsia="宋体" w:cs="宋体"/>
                <w:b/>
                <w:bCs/>
                <w:color w:val="auto"/>
                <w:kern w:val="0"/>
                <w:sz w:val="22"/>
                <w:szCs w:val="22"/>
                <w:highlight w:val="none"/>
                <w:u w:val="single"/>
                <w:lang w:val="en-US" w:eastAsia="zh-CN" w:bidi="ar"/>
              </w:rPr>
              <w:t>投标人必须提供技术规格、商务条款偏离表</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未提供的按无效标处理。</w:t>
            </w:r>
          </w:p>
        </w:tc>
      </w:tr>
      <w:tr w14:paraId="4A0D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shd w:val="clear" w:color="auto" w:fill="auto"/>
            <w:vAlign w:val="center"/>
          </w:tcPr>
          <w:p w14:paraId="15C8A0C9">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w:t>
            </w:r>
          </w:p>
        </w:tc>
        <w:tc>
          <w:tcPr>
            <w:tcW w:w="572" w:type="pct"/>
            <w:shd w:val="clear" w:color="auto" w:fill="auto"/>
            <w:vAlign w:val="center"/>
          </w:tcPr>
          <w:p w14:paraId="573E97A5">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项目方案</w:t>
            </w:r>
          </w:p>
        </w:tc>
        <w:tc>
          <w:tcPr>
            <w:tcW w:w="462" w:type="pct"/>
            <w:shd w:val="clear" w:color="auto" w:fill="auto"/>
            <w:vAlign w:val="center"/>
          </w:tcPr>
          <w:p w14:paraId="4E357D39">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tc>
        <w:tc>
          <w:tcPr>
            <w:tcW w:w="3616" w:type="pct"/>
            <w:shd w:val="clear" w:color="auto" w:fill="auto"/>
            <w:vAlign w:val="center"/>
          </w:tcPr>
          <w:p w14:paraId="6A96F878">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1、根据</w:t>
            </w: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组织实施方案的科学性、合理性、规范性和可操作性，以及组织机构、</w:t>
            </w:r>
            <w:r>
              <w:rPr>
                <w:rFonts w:hint="eastAsia" w:ascii="宋体" w:hAnsi="宋体" w:eastAsia="宋体" w:cs="宋体"/>
                <w:color w:val="auto"/>
                <w:sz w:val="22"/>
                <w:szCs w:val="22"/>
                <w:highlight w:val="none"/>
                <w:lang w:val="en-US"/>
              </w:rPr>
              <w:t>详细实施计划、整体工期要求、</w:t>
            </w:r>
            <w:r>
              <w:rPr>
                <w:rFonts w:hint="eastAsia" w:ascii="宋体" w:hAnsi="宋体" w:eastAsia="宋体" w:cs="宋体"/>
                <w:color w:val="auto"/>
                <w:sz w:val="22"/>
                <w:szCs w:val="22"/>
                <w:highlight w:val="none"/>
              </w:rPr>
              <w:t>工作时间进度表、工作程序和步骤、管理和协调方法、关键步骤的思路和要点等</w:t>
            </w:r>
            <w:r>
              <w:rPr>
                <w:rFonts w:hint="eastAsia" w:ascii="宋体" w:hAnsi="宋体" w:eastAsia="宋体" w:cs="宋体"/>
                <w:color w:val="auto"/>
                <w:kern w:val="0"/>
                <w:sz w:val="22"/>
                <w:szCs w:val="22"/>
                <w:highlight w:val="none"/>
              </w:rPr>
              <w:t>，由评标委员会打分</w:t>
            </w:r>
            <w:r>
              <w:rPr>
                <w:rFonts w:hint="eastAsia" w:ascii="宋体" w:hAnsi="宋体" w:eastAsia="宋体" w:cs="宋体"/>
                <w:snapToGrid w:val="0"/>
                <w:color w:val="auto"/>
                <w:sz w:val="22"/>
                <w:szCs w:val="22"/>
                <w:highlight w:val="none"/>
              </w:rPr>
              <w:t>。</w:t>
            </w:r>
          </w:p>
          <w:p w14:paraId="53FFD7D1">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3；2；1；0）</w:t>
            </w:r>
          </w:p>
          <w:p w14:paraId="210AC4E0">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2、根据投标人</w:t>
            </w:r>
            <w:r>
              <w:rPr>
                <w:rFonts w:hint="eastAsia" w:ascii="宋体" w:hAnsi="宋体" w:eastAsia="宋体" w:cs="宋体"/>
                <w:color w:val="auto"/>
                <w:sz w:val="22"/>
                <w:szCs w:val="22"/>
                <w:highlight w:val="none"/>
                <w:lang w:val="en-US"/>
              </w:rPr>
              <w:t>针对本项目制定的系统测试、验收方案是否完整清晰、科学合理、可操作性强</w:t>
            </w:r>
            <w:r>
              <w:rPr>
                <w:rFonts w:hint="eastAsia" w:ascii="宋体" w:hAnsi="宋体" w:eastAsia="宋体" w:cs="宋体"/>
                <w:color w:val="auto"/>
                <w:kern w:val="0"/>
                <w:sz w:val="22"/>
                <w:szCs w:val="22"/>
                <w:highlight w:val="none"/>
              </w:rPr>
              <w:t>，由评标委员会打分</w:t>
            </w:r>
            <w:r>
              <w:rPr>
                <w:rFonts w:hint="eastAsia" w:ascii="宋体" w:hAnsi="宋体" w:eastAsia="宋体" w:cs="宋体"/>
                <w:snapToGrid w:val="0"/>
                <w:color w:val="auto"/>
                <w:sz w:val="22"/>
                <w:szCs w:val="22"/>
                <w:highlight w:val="none"/>
              </w:rPr>
              <w:t>。</w:t>
            </w:r>
          </w:p>
          <w:p w14:paraId="686E0798">
            <w:pPr>
              <w:shd w:val="clear"/>
              <w:spacing w:line="360" w:lineRule="exact"/>
              <w:jc w:val="lef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3；2；1；0）</w:t>
            </w:r>
          </w:p>
        </w:tc>
      </w:tr>
      <w:tr w14:paraId="42DF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Align w:val="center"/>
          </w:tcPr>
          <w:p w14:paraId="67EE4C2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72" w:type="pct"/>
            <w:vAlign w:val="center"/>
          </w:tcPr>
          <w:p w14:paraId="3BEC9CE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项目实施团队人员技术能力保证</w:t>
            </w:r>
          </w:p>
        </w:tc>
        <w:tc>
          <w:tcPr>
            <w:tcW w:w="462" w:type="pct"/>
            <w:vAlign w:val="center"/>
          </w:tcPr>
          <w:p w14:paraId="7F4C4C3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3616" w:type="pct"/>
            <w:vAlign w:val="center"/>
          </w:tcPr>
          <w:p w14:paraId="3466D957">
            <w:pPr>
              <w:shd w:val="clear"/>
              <w:spacing w:line="360" w:lineRule="exact"/>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根据投标人针对本项目拟投入的项目实施团队人员情况，包括：人员架构、服务人员数量、维护人员、人员资质、人员从业经验等情况</w:t>
            </w:r>
            <w:r>
              <w:rPr>
                <w:rFonts w:hint="eastAsia" w:ascii="宋体" w:hAnsi="宋体" w:eastAsia="宋体" w:cs="宋体"/>
                <w:color w:val="auto"/>
                <w:kern w:val="0"/>
                <w:sz w:val="22"/>
                <w:szCs w:val="22"/>
                <w:highlight w:val="none"/>
                <w:lang w:val="zh-TW"/>
              </w:rPr>
              <w:t>，</w:t>
            </w:r>
            <w:r>
              <w:rPr>
                <w:rFonts w:hint="eastAsia" w:ascii="宋体" w:hAnsi="宋体" w:eastAsia="宋体" w:cs="宋体"/>
                <w:color w:val="auto"/>
                <w:sz w:val="22"/>
                <w:szCs w:val="22"/>
                <w:highlight w:val="none"/>
                <w:shd w:val="clear" w:color="auto" w:fill="FFFFFF"/>
              </w:rPr>
              <w:t>由评标委员会打分。</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3；2；1；0）</w:t>
            </w:r>
          </w:p>
          <w:p w14:paraId="68ACA915">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项目实施团队人员（含项目负责人）须提供证书或证明复印件加盖投标人公章，还须提供在投标人单位的提交投标文件截止时间前近三个月（不含提交投标文件截止时间当月）任意一月的社保证明材料复印件加盖投标人公章，缺一不可，否则该人员不计入。</w:t>
            </w:r>
          </w:p>
        </w:tc>
      </w:tr>
      <w:tr w14:paraId="036F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Merge w:val="restart"/>
            <w:shd w:val="clear" w:color="auto" w:fill="auto"/>
            <w:vAlign w:val="center"/>
          </w:tcPr>
          <w:p w14:paraId="17FE9420">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w:t>
            </w:r>
          </w:p>
        </w:tc>
        <w:tc>
          <w:tcPr>
            <w:tcW w:w="572" w:type="pct"/>
            <w:vMerge w:val="restart"/>
            <w:vAlign w:val="center"/>
          </w:tcPr>
          <w:p w14:paraId="38211C86">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kern w:val="2"/>
                <w:sz w:val="22"/>
                <w:szCs w:val="22"/>
                <w:highlight w:val="none"/>
                <w:lang w:val="en-US" w:eastAsia="zh-CN" w:bidi="ar"/>
              </w:rPr>
              <w:t>功能演示</w:t>
            </w:r>
          </w:p>
        </w:tc>
        <w:tc>
          <w:tcPr>
            <w:tcW w:w="462" w:type="pct"/>
            <w:vMerge w:val="restart"/>
            <w:vAlign w:val="center"/>
          </w:tcPr>
          <w:p w14:paraId="721C37A4">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c>
          <w:tcPr>
            <w:tcW w:w="3616" w:type="pct"/>
            <w:shd w:val="clear" w:color="auto" w:fill="auto"/>
            <w:vAlign w:val="center"/>
          </w:tcPr>
          <w:p w14:paraId="6769FCC7">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b/>
                <w:bCs/>
                <w:color w:val="auto"/>
                <w:kern w:val="0"/>
                <w:sz w:val="22"/>
                <w:szCs w:val="22"/>
                <w:highlight w:val="none"/>
              </w:rPr>
            </w:pPr>
            <w:r>
              <w:rPr>
                <w:rFonts w:hint="eastAsia" w:ascii="宋体" w:hAnsi="宋体" w:eastAsia="宋体" w:cs="宋体"/>
                <w:color w:val="auto"/>
                <w:kern w:val="2"/>
                <w:sz w:val="22"/>
                <w:szCs w:val="22"/>
                <w:highlight w:val="none"/>
                <w:lang w:val="en-US" w:eastAsia="zh-CN" w:bidi="ar-SA"/>
              </w:rPr>
              <w:t>本项目需提供软件演示视频，由评标委员会根据投标人演示结果与“演示要求”中的标准，进行评分。请投标人提前录制好演示相关内容置于存储设备（仅限U盘）。</w:t>
            </w:r>
            <w:r>
              <w:rPr>
                <w:rFonts w:hint="eastAsia" w:ascii="宋体" w:hAnsi="宋体" w:eastAsia="宋体" w:cs="宋体"/>
                <w:b/>
                <w:color w:val="auto"/>
                <w:sz w:val="22"/>
                <w:szCs w:val="22"/>
                <w:highlight w:val="none"/>
              </w:rPr>
              <w:t>装有</w:t>
            </w:r>
            <w:r>
              <w:rPr>
                <w:rFonts w:hint="eastAsia" w:ascii="宋体" w:hAnsi="宋体" w:eastAsia="宋体" w:cs="宋体"/>
                <w:b/>
                <w:color w:val="auto"/>
                <w:sz w:val="22"/>
                <w:szCs w:val="22"/>
                <w:highlight w:val="none"/>
                <w:lang w:val="en-US" w:eastAsia="zh-CN"/>
              </w:rPr>
              <w:t>软件演示视频</w:t>
            </w:r>
            <w:r>
              <w:rPr>
                <w:rFonts w:hint="eastAsia" w:ascii="宋体" w:hAnsi="宋体" w:eastAsia="宋体" w:cs="宋体"/>
                <w:b/>
                <w:color w:val="auto"/>
                <w:sz w:val="22"/>
                <w:szCs w:val="22"/>
                <w:highlight w:val="none"/>
              </w:rPr>
              <w:t>的U盘</w:t>
            </w:r>
            <w:r>
              <w:rPr>
                <w:rFonts w:hint="eastAsia" w:ascii="宋体" w:hAnsi="宋体" w:eastAsia="宋体" w:cs="宋体"/>
                <w:b/>
                <w:bCs/>
                <w:color w:val="auto"/>
                <w:kern w:val="0"/>
                <w:sz w:val="22"/>
                <w:szCs w:val="22"/>
                <w:highlight w:val="none"/>
              </w:rPr>
              <w:t>应</w:t>
            </w:r>
            <w:r>
              <w:rPr>
                <w:rFonts w:hint="eastAsia" w:ascii="宋体" w:hAnsi="宋体" w:eastAsia="宋体" w:cs="宋体"/>
                <w:b/>
                <w:bCs/>
                <w:color w:val="auto"/>
                <w:kern w:val="0"/>
                <w:sz w:val="22"/>
                <w:szCs w:val="22"/>
                <w:highlight w:val="none"/>
                <w:lang w:val="en-US" w:eastAsia="zh-CN"/>
              </w:rPr>
              <w:t>自行、单独密封加盖投标人单位公章，</w:t>
            </w:r>
            <w:r>
              <w:rPr>
                <w:rFonts w:hint="eastAsia" w:ascii="宋体" w:hAnsi="宋体" w:eastAsia="宋体" w:cs="宋体"/>
                <w:b/>
                <w:bCs/>
                <w:color w:val="auto"/>
                <w:kern w:val="0"/>
                <w:sz w:val="22"/>
                <w:szCs w:val="22"/>
                <w:highlight w:val="none"/>
              </w:rPr>
              <w:t>在提交投标文件截止时间当日的截止时间前，</w:t>
            </w:r>
            <w:r>
              <w:rPr>
                <w:rFonts w:hint="eastAsia" w:ascii="宋体" w:hAnsi="宋体" w:eastAsia="宋体" w:cs="宋体"/>
                <w:b/>
                <w:bCs/>
                <w:color w:val="auto"/>
                <w:kern w:val="0"/>
                <w:sz w:val="22"/>
                <w:szCs w:val="22"/>
                <w:highlight w:val="none"/>
                <w:lang w:val="en-US" w:eastAsia="zh-CN"/>
              </w:rPr>
              <w:t>提交</w:t>
            </w:r>
            <w:r>
              <w:rPr>
                <w:rFonts w:hint="eastAsia" w:ascii="宋体" w:hAnsi="宋体" w:eastAsia="宋体" w:cs="宋体"/>
                <w:b/>
                <w:bCs/>
                <w:color w:val="auto"/>
                <w:kern w:val="0"/>
                <w:sz w:val="22"/>
                <w:szCs w:val="22"/>
                <w:highlight w:val="none"/>
              </w:rPr>
              <w:t>到</w:t>
            </w:r>
            <w:r>
              <w:rPr>
                <w:rFonts w:hint="eastAsia" w:ascii="宋体" w:hAnsi="宋体" w:eastAsia="宋体" w:cs="宋体"/>
                <w:b/>
                <w:bCs/>
                <w:color w:val="auto"/>
                <w:kern w:val="0"/>
                <w:sz w:val="22"/>
                <w:szCs w:val="22"/>
                <w:highlight w:val="none"/>
                <w:lang w:eastAsia="zh-CN"/>
              </w:rPr>
              <w:t>温州经济技术开发区金海三道433号浙江东方职业技术学院行政楼516室</w:t>
            </w:r>
            <w:r>
              <w:rPr>
                <w:rFonts w:hint="eastAsia" w:ascii="宋体" w:hAnsi="宋体" w:eastAsia="宋体" w:cs="宋体"/>
                <w:b/>
                <w:bCs/>
                <w:color w:val="auto"/>
                <w:kern w:val="0"/>
                <w:sz w:val="22"/>
                <w:szCs w:val="22"/>
                <w:highlight w:val="none"/>
              </w:rPr>
              <w:t>本项目招标代理机构处。联系人：单聪、王力，联系方式：13758431531、15825632095。逾期</w:t>
            </w:r>
            <w:r>
              <w:rPr>
                <w:rFonts w:hint="eastAsia" w:ascii="宋体" w:hAnsi="宋体" w:eastAsia="宋体" w:cs="宋体"/>
                <w:b/>
                <w:bCs/>
                <w:color w:val="auto"/>
                <w:kern w:val="0"/>
                <w:sz w:val="22"/>
                <w:szCs w:val="22"/>
                <w:highlight w:val="none"/>
                <w:lang w:val="en-US" w:eastAsia="zh-CN"/>
              </w:rPr>
              <w:t>提交的将予以拒收</w:t>
            </w:r>
            <w:r>
              <w:rPr>
                <w:rFonts w:hint="eastAsia" w:ascii="宋体" w:hAnsi="宋体" w:eastAsia="宋体" w:cs="宋体"/>
                <w:b/>
                <w:bCs/>
                <w:color w:val="auto"/>
                <w:kern w:val="0"/>
                <w:sz w:val="22"/>
                <w:szCs w:val="22"/>
                <w:highlight w:val="none"/>
              </w:rPr>
              <w:t>，其后果由投标人自行承担。</w:t>
            </w:r>
          </w:p>
          <w:p w14:paraId="4B8FB31D">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演示时间控制在15分钟以内；</w:t>
            </w:r>
            <w:r>
              <w:rPr>
                <w:rFonts w:hint="eastAsia" w:ascii="宋体" w:hAnsi="宋体" w:eastAsia="宋体" w:cs="宋体"/>
                <w:b/>
                <w:bCs/>
                <w:color w:val="auto"/>
                <w:kern w:val="2"/>
                <w:sz w:val="22"/>
                <w:szCs w:val="22"/>
                <w:highlight w:val="none"/>
                <w:lang w:val="en-US" w:eastAsia="zh-CN" w:bidi="ar-SA"/>
              </w:rPr>
              <w:t>完全满足演示要求的，每条得</w:t>
            </w:r>
            <w:r>
              <w:rPr>
                <w:rFonts w:hint="eastAsia" w:hAnsi="宋体" w:cs="宋体"/>
                <w:b/>
                <w:bCs/>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分，部分满足的得</w:t>
            </w:r>
            <w:r>
              <w:rPr>
                <w:rFonts w:hint="eastAsia" w:hAnsi="宋体" w:cs="宋体"/>
                <w:b/>
                <w:bCs/>
                <w:color w:val="auto"/>
                <w:kern w:val="2"/>
                <w:sz w:val="22"/>
                <w:szCs w:val="22"/>
                <w:highlight w:val="none"/>
                <w:lang w:val="en-US" w:eastAsia="zh-CN" w:bidi="ar-SA"/>
              </w:rPr>
              <w:t>1.5</w:t>
            </w:r>
            <w:r>
              <w:rPr>
                <w:rFonts w:hint="eastAsia" w:ascii="宋体" w:hAnsi="宋体" w:eastAsia="宋体" w:cs="宋体"/>
                <w:b/>
                <w:bCs/>
                <w:color w:val="auto"/>
                <w:kern w:val="2"/>
                <w:sz w:val="22"/>
                <w:szCs w:val="22"/>
                <w:highlight w:val="none"/>
                <w:lang w:val="en-US" w:eastAsia="zh-CN" w:bidi="ar-SA"/>
              </w:rPr>
              <w:t>分，不满足或未提供的不得分。</w:t>
            </w:r>
          </w:p>
          <w:p w14:paraId="2F9F6B65">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0"/>
                <w:sz w:val="22"/>
                <w:szCs w:val="22"/>
                <w:highlight w:val="none"/>
                <w:lang w:val="en-US" w:eastAsia="zh-CN" w:bidi="ar-SA"/>
              </w:rPr>
            </w:pPr>
            <w:r>
              <w:rPr>
                <w:rStyle w:val="57"/>
                <w:rFonts w:hint="eastAsia" w:ascii="宋体" w:hAnsi="宋体" w:eastAsia="宋体" w:cs="宋体"/>
                <w:color w:val="auto"/>
                <w:sz w:val="22"/>
                <w:szCs w:val="22"/>
                <w:highlight w:val="none"/>
                <w:lang w:val="en-US" w:eastAsia="zh-CN" w:bidi="ar"/>
              </w:rPr>
              <w:t>演示内容需为真人操作软件录制的视频进行，以PPT、非真人操作软件录制的视频、图片等视同未演示，本项不得分；</w:t>
            </w:r>
            <w:r>
              <w:rPr>
                <w:rFonts w:hint="eastAsia" w:ascii="宋体" w:hAnsi="宋体" w:eastAsia="宋体" w:cs="宋体"/>
                <w:color w:val="auto"/>
                <w:kern w:val="2"/>
                <w:sz w:val="22"/>
                <w:szCs w:val="22"/>
                <w:highlight w:val="none"/>
                <w:lang w:val="en-US" w:eastAsia="zh-CN" w:bidi="ar-SA"/>
              </w:rPr>
              <w:t xml:space="preserve">演示要求如下（共4条）： </w:t>
            </w:r>
          </w:p>
        </w:tc>
      </w:tr>
      <w:tr w14:paraId="184F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Merge w:val="continue"/>
            <w:shd w:val="clear" w:color="auto" w:fill="auto"/>
            <w:vAlign w:val="center"/>
          </w:tcPr>
          <w:p w14:paraId="6AF10E6B">
            <w:pPr>
              <w:shd w:val="clear"/>
              <w:spacing w:line="360" w:lineRule="exact"/>
              <w:jc w:val="center"/>
              <w:rPr>
                <w:rFonts w:hint="eastAsia" w:ascii="宋体" w:hAnsi="宋体" w:eastAsia="宋体" w:cs="宋体"/>
                <w:color w:val="auto"/>
                <w:sz w:val="22"/>
                <w:szCs w:val="22"/>
                <w:highlight w:val="none"/>
              </w:rPr>
            </w:pPr>
          </w:p>
        </w:tc>
        <w:tc>
          <w:tcPr>
            <w:tcW w:w="572" w:type="pct"/>
            <w:vMerge w:val="continue"/>
            <w:vAlign w:val="center"/>
          </w:tcPr>
          <w:p w14:paraId="125E27B4">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2798AF17">
            <w:pPr>
              <w:shd w:val="clear"/>
              <w:spacing w:line="360" w:lineRule="exact"/>
              <w:jc w:val="center"/>
              <w:rPr>
                <w:rFonts w:hint="eastAsia" w:ascii="宋体" w:hAnsi="宋体" w:eastAsia="宋体" w:cs="宋体"/>
                <w:color w:val="auto"/>
                <w:sz w:val="22"/>
                <w:szCs w:val="22"/>
                <w:highlight w:val="none"/>
              </w:rPr>
            </w:pPr>
          </w:p>
        </w:tc>
        <w:tc>
          <w:tcPr>
            <w:tcW w:w="3616" w:type="pct"/>
            <w:vAlign w:val="center"/>
          </w:tcPr>
          <w:p w14:paraId="710FD8AA">
            <w:pPr>
              <w:keepNext w:val="0"/>
              <w:keepLines w:val="0"/>
              <w:pageBreakBefore w:val="0"/>
              <w:numPr>
                <w:ilvl w:val="0"/>
                <w:numId w:val="0"/>
              </w:numPr>
              <w:suppressLineNumbers w:val="0"/>
              <w:shd w:val="clear"/>
              <w:kinsoku/>
              <w:wordWrap/>
              <w:overflowPunct/>
              <w:topLinePunct w:val="0"/>
              <w:autoSpaceDE/>
              <w:autoSpaceDN/>
              <w:bidi w:val="0"/>
              <w:adjustRightInd w:val="0"/>
              <w:snapToGrid w:val="0"/>
              <w:spacing w:before="0" w:beforeAutospacing="0" w:afterAutospacing="0" w:line="360" w:lineRule="exact"/>
              <w:ind w:left="0" w:leftChars="0" w:right="0" w:rightChars="0"/>
              <w:rPr>
                <w:rFonts w:hint="eastAsia" w:ascii="宋体" w:hAnsi="宋体" w:eastAsia="宋体" w:cs="宋体"/>
                <w:color w:val="auto"/>
                <w:kern w:val="2"/>
                <w:sz w:val="22"/>
                <w:szCs w:val="22"/>
                <w:highlight w:val="none"/>
                <w:lang w:val="en-US" w:eastAsia="zh-CN" w:bidi="ar-SA"/>
              </w:rPr>
            </w:pPr>
            <w:r>
              <w:rPr>
                <w:rStyle w:val="57"/>
                <w:rFonts w:hint="eastAsia" w:ascii="宋体" w:hAnsi="宋体" w:eastAsia="宋体" w:cs="宋体"/>
                <w:color w:val="auto"/>
                <w:sz w:val="22"/>
                <w:szCs w:val="22"/>
                <w:highlight w:val="none"/>
                <w:lang w:val="en-US" w:eastAsia="zh-CN" w:bidi="ar"/>
              </w:rPr>
              <w:t>1、演示接入平台模块</w:t>
            </w:r>
            <w:r>
              <w:rPr>
                <w:rFonts w:hint="eastAsia" w:ascii="宋体" w:hAnsi="宋体" w:eastAsia="宋体" w:cs="宋体"/>
                <w:i w:val="0"/>
                <w:iCs w:val="0"/>
                <w:color w:val="auto"/>
                <w:kern w:val="0"/>
                <w:sz w:val="22"/>
                <w:szCs w:val="22"/>
                <w:highlight w:val="none"/>
                <w:u w:val="none"/>
                <w:lang w:val="en-US" w:eastAsia="zh-CN" w:bidi="ar"/>
              </w:rPr>
              <w:t>支持创建最大7个录像池，录像池的容量可自由划分。</w:t>
            </w:r>
          </w:p>
        </w:tc>
      </w:tr>
      <w:tr w14:paraId="79B5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Merge w:val="continue"/>
            <w:shd w:val="clear" w:color="auto" w:fill="auto"/>
            <w:vAlign w:val="center"/>
          </w:tcPr>
          <w:p w14:paraId="2DA0553C">
            <w:pPr>
              <w:shd w:val="clear"/>
              <w:spacing w:line="360" w:lineRule="exact"/>
              <w:jc w:val="center"/>
              <w:rPr>
                <w:rFonts w:hint="eastAsia" w:ascii="宋体" w:hAnsi="宋体" w:eastAsia="宋体" w:cs="宋体"/>
                <w:color w:val="auto"/>
                <w:sz w:val="22"/>
                <w:szCs w:val="22"/>
                <w:highlight w:val="none"/>
              </w:rPr>
            </w:pPr>
          </w:p>
        </w:tc>
        <w:tc>
          <w:tcPr>
            <w:tcW w:w="572" w:type="pct"/>
            <w:vMerge w:val="continue"/>
            <w:vAlign w:val="center"/>
          </w:tcPr>
          <w:p w14:paraId="195B5F79">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72054B67">
            <w:pPr>
              <w:shd w:val="clear"/>
              <w:spacing w:line="360" w:lineRule="exact"/>
              <w:jc w:val="center"/>
              <w:rPr>
                <w:rFonts w:hint="eastAsia" w:ascii="宋体" w:hAnsi="宋体" w:eastAsia="宋体" w:cs="宋体"/>
                <w:color w:val="auto"/>
                <w:sz w:val="22"/>
                <w:szCs w:val="22"/>
                <w:highlight w:val="none"/>
              </w:rPr>
            </w:pPr>
          </w:p>
        </w:tc>
        <w:tc>
          <w:tcPr>
            <w:tcW w:w="3616" w:type="pct"/>
            <w:vAlign w:val="center"/>
          </w:tcPr>
          <w:p w14:paraId="5773620E">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Style w:val="57"/>
                <w:rFonts w:hint="eastAsia" w:ascii="宋体" w:hAnsi="宋体" w:eastAsia="宋体" w:cs="宋体"/>
                <w:color w:val="auto"/>
                <w:sz w:val="22"/>
                <w:szCs w:val="22"/>
                <w:highlight w:val="none"/>
                <w:lang w:val="en-US" w:eastAsia="zh-CN" w:bidi="ar"/>
              </w:rPr>
              <w:t>2、演示接入平台模块</w:t>
            </w:r>
            <w:r>
              <w:rPr>
                <w:rFonts w:hint="eastAsia" w:ascii="宋体" w:hAnsi="宋体" w:eastAsia="宋体" w:cs="宋体"/>
                <w:i w:val="0"/>
                <w:iCs w:val="0"/>
                <w:color w:val="auto"/>
                <w:kern w:val="0"/>
                <w:sz w:val="22"/>
                <w:szCs w:val="22"/>
                <w:highlight w:val="none"/>
                <w:u w:val="none"/>
                <w:lang w:val="en-US" w:eastAsia="zh-CN" w:bidi="ar"/>
              </w:rPr>
              <w:t>设备支持分组管理，支持将接入的视频通道按分组管理；支持以分组方式进行预览、回放和检索。</w:t>
            </w:r>
          </w:p>
        </w:tc>
      </w:tr>
      <w:tr w14:paraId="3E5E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Merge w:val="continue"/>
            <w:shd w:val="clear" w:color="auto" w:fill="auto"/>
            <w:vAlign w:val="center"/>
          </w:tcPr>
          <w:p w14:paraId="15E5AC73">
            <w:pPr>
              <w:shd w:val="clear"/>
              <w:spacing w:line="360" w:lineRule="exact"/>
              <w:jc w:val="center"/>
              <w:rPr>
                <w:rFonts w:hint="eastAsia" w:ascii="宋体" w:hAnsi="宋体" w:eastAsia="宋体" w:cs="宋体"/>
                <w:color w:val="auto"/>
                <w:sz w:val="22"/>
                <w:szCs w:val="22"/>
                <w:highlight w:val="none"/>
              </w:rPr>
            </w:pPr>
          </w:p>
        </w:tc>
        <w:tc>
          <w:tcPr>
            <w:tcW w:w="572" w:type="pct"/>
            <w:vMerge w:val="continue"/>
            <w:vAlign w:val="center"/>
          </w:tcPr>
          <w:p w14:paraId="73C42D70">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3B33932F">
            <w:pPr>
              <w:shd w:val="clear"/>
              <w:spacing w:line="360" w:lineRule="exact"/>
              <w:jc w:val="center"/>
              <w:rPr>
                <w:rFonts w:hint="eastAsia" w:ascii="宋体" w:hAnsi="宋体" w:eastAsia="宋体" w:cs="宋体"/>
                <w:color w:val="auto"/>
                <w:sz w:val="22"/>
                <w:szCs w:val="22"/>
                <w:highlight w:val="none"/>
              </w:rPr>
            </w:pPr>
          </w:p>
        </w:tc>
        <w:tc>
          <w:tcPr>
            <w:tcW w:w="3616" w:type="pct"/>
            <w:vAlign w:val="center"/>
          </w:tcPr>
          <w:p w14:paraId="48C9BEC1">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Style w:val="57"/>
                <w:rFonts w:hint="eastAsia" w:ascii="宋体" w:hAnsi="宋体" w:eastAsia="宋体" w:cs="宋体"/>
                <w:color w:val="auto"/>
                <w:sz w:val="22"/>
                <w:szCs w:val="22"/>
                <w:highlight w:val="none"/>
                <w:lang w:val="en-US" w:eastAsia="zh-CN" w:bidi="ar"/>
              </w:rPr>
              <w:t>3、演示接入平台模块</w:t>
            </w:r>
            <w:r>
              <w:rPr>
                <w:rFonts w:hint="eastAsia" w:ascii="宋体" w:hAnsi="宋体" w:eastAsia="宋体" w:cs="宋体"/>
                <w:i w:val="0"/>
                <w:iCs w:val="0"/>
                <w:color w:val="auto"/>
                <w:kern w:val="0"/>
                <w:sz w:val="22"/>
                <w:szCs w:val="22"/>
                <w:highlight w:val="none"/>
                <w:u w:val="none"/>
                <w:lang w:val="en-US" w:eastAsia="zh-CN" w:bidi="ar"/>
              </w:rPr>
              <w:t>切片回放功能，支持按月、日、小时维度进行切片展示，按月最大支持30个切片，按日最大支持24个切片，按时最大支持60个切片。</w:t>
            </w:r>
          </w:p>
        </w:tc>
      </w:tr>
      <w:tr w14:paraId="0701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Merge w:val="continue"/>
            <w:shd w:val="clear" w:color="auto" w:fill="auto"/>
            <w:vAlign w:val="center"/>
          </w:tcPr>
          <w:p w14:paraId="30456BA3">
            <w:pPr>
              <w:shd w:val="clear"/>
              <w:spacing w:line="360" w:lineRule="exact"/>
              <w:jc w:val="center"/>
              <w:rPr>
                <w:rFonts w:hint="eastAsia" w:ascii="宋体" w:hAnsi="宋体" w:eastAsia="宋体" w:cs="宋体"/>
                <w:color w:val="auto"/>
                <w:sz w:val="22"/>
                <w:szCs w:val="22"/>
                <w:highlight w:val="none"/>
              </w:rPr>
            </w:pPr>
          </w:p>
        </w:tc>
        <w:tc>
          <w:tcPr>
            <w:tcW w:w="572" w:type="pct"/>
            <w:vMerge w:val="continue"/>
            <w:vAlign w:val="center"/>
          </w:tcPr>
          <w:p w14:paraId="7ED0F002">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44D17FD6">
            <w:pPr>
              <w:shd w:val="clear"/>
              <w:spacing w:line="360" w:lineRule="exact"/>
              <w:jc w:val="center"/>
              <w:rPr>
                <w:rFonts w:hint="eastAsia" w:ascii="宋体" w:hAnsi="宋体" w:eastAsia="宋体" w:cs="宋体"/>
                <w:color w:val="auto"/>
                <w:sz w:val="22"/>
                <w:szCs w:val="22"/>
                <w:highlight w:val="none"/>
              </w:rPr>
            </w:pPr>
          </w:p>
        </w:tc>
        <w:tc>
          <w:tcPr>
            <w:tcW w:w="3616" w:type="pct"/>
            <w:vAlign w:val="center"/>
          </w:tcPr>
          <w:p w14:paraId="5FD7203C">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Style w:val="57"/>
                <w:rFonts w:hint="eastAsia" w:ascii="宋体" w:hAnsi="宋体" w:eastAsia="宋体" w:cs="宋体"/>
                <w:color w:val="auto"/>
                <w:sz w:val="22"/>
                <w:szCs w:val="22"/>
                <w:highlight w:val="none"/>
                <w:lang w:val="en-US" w:eastAsia="zh-CN" w:bidi="ar"/>
              </w:rPr>
              <w:t>4、演示接入平台模块支持</w:t>
            </w:r>
            <w:r>
              <w:rPr>
                <w:rFonts w:hint="eastAsia" w:ascii="宋体" w:hAnsi="宋体" w:eastAsia="宋体" w:cs="宋体"/>
                <w:i w:val="0"/>
                <w:iCs w:val="0"/>
                <w:color w:val="auto"/>
                <w:kern w:val="0"/>
                <w:sz w:val="22"/>
                <w:szCs w:val="22"/>
                <w:highlight w:val="none"/>
                <w:u w:val="none"/>
                <w:lang w:val="en-US" w:eastAsia="zh-CN" w:bidi="ar"/>
              </w:rPr>
              <w:t>多色彩展示运行告警状态，支持告警统计、概览、处理，支持告警记录查看、查询，支持告警单条、批量处理。</w:t>
            </w:r>
          </w:p>
        </w:tc>
      </w:tr>
      <w:tr w14:paraId="6EFD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shd w:val="clear" w:color="auto" w:fill="auto"/>
            <w:vAlign w:val="center"/>
          </w:tcPr>
          <w:p w14:paraId="3167E9CC">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w:t>
            </w:r>
          </w:p>
        </w:tc>
        <w:tc>
          <w:tcPr>
            <w:tcW w:w="572" w:type="pct"/>
            <w:shd w:val="clear" w:color="auto" w:fill="auto"/>
            <w:vAlign w:val="center"/>
          </w:tcPr>
          <w:p w14:paraId="7A810FAC">
            <w:pPr>
              <w:pStyle w:val="28"/>
              <w:shd w:val="clear"/>
              <w:spacing w:before="0" w:beforeAutospacing="0" w:after="0" w:afterAutospacing="0"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培训计划</w:t>
            </w:r>
          </w:p>
        </w:tc>
        <w:tc>
          <w:tcPr>
            <w:tcW w:w="462" w:type="pct"/>
            <w:vAlign w:val="center"/>
          </w:tcPr>
          <w:p w14:paraId="44432E26">
            <w:pPr>
              <w:pStyle w:val="28"/>
              <w:shd w:val="clear"/>
              <w:spacing w:before="0" w:beforeAutospacing="0" w:after="0" w:afterAutospacing="0"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0-5分</w:t>
            </w:r>
          </w:p>
        </w:tc>
        <w:tc>
          <w:tcPr>
            <w:tcW w:w="3616" w:type="pct"/>
            <w:shd w:val="clear" w:color="auto" w:fill="auto"/>
            <w:vAlign w:val="center"/>
          </w:tcPr>
          <w:p w14:paraId="2E90720B">
            <w:pPr>
              <w:shd w:val="clear"/>
              <w:spacing w:line="3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针对采购文件的培训要求，根据投标人培训服务方案的合理性、完整性、可行性，结合本次实施的操作手册</w:t>
            </w:r>
            <w:r>
              <w:rPr>
                <w:rFonts w:hint="eastAsia" w:ascii="宋体" w:hAnsi="宋体" w:eastAsia="宋体" w:cs="宋体"/>
                <w:color w:val="auto"/>
                <w:kern w:val="2"/>
                <w:sz w:val="22"/>
                <w:szCs w:val="22"/>
                <w:highlight w:val="none"/>
                <w:lang w:val="zh-TW" w:eastAsia="zh-CN" w:bidi="ar-SA"/>
              </w:rPr>
              <w:t>，</w:t>
            </w:r>
            <w:r>
              <w:rPr>
                <w:rFonts w:hint="eastAsia" w:ascii="宋体" w:hAnsi="宋体" w:eastAsia="宋体" w:cs="宋体"/>
                <w:color w:val="auto"/>
                <w:kern w:val="2"/>
                <w:sz w:val="22"/>
                <w:szCs w:val="22"/>
                <w:highlight w:val="none"/>
                <w:lang w:val="en-US" w:eastAsia="zh-CN" w:bidi="ar-SA"/>
              </w:rPr>
              <w:t>由评标委员会打分。</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5；4；</w:t>
            </w:r>
            <w:r>
              <w:rPr>
                <w:rFonts w:hint="eastAsia" w:ascii="宋体" w:hAnsi="宋体" w:eastAsia="宋体" w:cs="宋体"/>
                <w:color w:val="auto"/>
                <w:sz w:val="22"/>
                <w:szCs w:val="22"/>
                <w:highlight w:val="none"/>
              </w:rPr>
              <w:t>3；2；1；0）</w:t>
            </w:r>
          </w:p>
        </w:tc>
      </w:tr>
      <w:tr w14:paraId="6532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shd w:val="clear" w:color="auto" w:fill="auto"/>
            <w:vAlign w:val="center"/>
          </w:tcPr>
          <w:p w14:paraId="7BF6F8C2">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w:t>
            </w:r>
          </w:p>
        </w:tc>
        <w:tc>
          <w:tcPr>
            <w:tcW w:w="572" w:type="pct"/>
            <w:shd w:val="clear" w:color="auto" w:fill="auto"/>
            <w:vAlign w:val="center"/>
          </w:tcPr>
          <w:p w14:paraId="4CB234B8">
            <w:pPr>
              <w:pStyle w:val="28"/>
              <w:shd w:val="clear"/>
              <w:spacing w:before="0" w:beforeAutospacing="0" w:after="0" w:afterAutospacing="0"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w:t>
            </w:r>
          </w:p>
        </w:tc>
        <w:tc>
          <w:tcPr>
            <w:tcW w:w="462" w:type="pct"/>
            <w:vAlign w:val="center"/>
          </w:tcPr>
          <w:p w14:paraId="6B9D55A0">
            <w:pPr>
              <w:pStyle w:val="28"/>
              <w:shd w:val="clear"/>
              <w:spacing w:before="0" w:beforeAutospacing="0" w:after="0" w:afterAutospacing="0"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c>
          <w:tcPr>
            <w:tcW w:w="3616" w:type="pct"/>
            <w:shd w:val="clear" w:color="auto" w:fill="auto"/>
            <w:vAlign w:val="center"/>
          </w:tcPr>
          <w:p w14:paraId="300565C5">
            <w:pPr>
              <w:shd w:val="clear"/>
              <w:spacing w:line="3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zh-CN" w:eastAsia="zh-CN" w:bidi="ar-SA"/>
              </w:rPr>
              <w:t>根据</w:t>
            </w:r>
            <w:r>
              <w:rPr>
                <w:rFonts w:hint="eastAsia" w:ascii="宋体" w:hAnsi="宋体" w:eastAsia="宋体" w:cs="宋体"/>
                <w:color w:val="auto"/>
                <w:kern w:val="2"/>
                <w:sz w:val="22"/>
                <w:szCs w:val="22"/>
                <w:highlight w:val="none"/>
                <w:lang w:val="en-US" w:eastAsia="zh-CN" w:bidi="ar-SA"/>
              </w:rPr>
              <w:t>投标人的</w:t>
            </w:r>
            <w:r>
              <w:rPr>
                <w:rFonts w:hint="eastAsia" w:ascii="宋体" w:hAnsi="宋体" w:eastAsia="宋体" w:cs="宋体"/>
                <w:color w:val="auto"/>
                <w:kern w:val="2"/>
                <w:sz w:val="22"/>
                <w:szCs w:val="22"/>
                <w:highlight w:val="none"/>
                <w:lang w:val="zh-CN" w:eastAsia="zh-CN" w:bidi="ar-SA"/>
              </w:rPr>
              <w:t>售后服务</w:t>
            </w:r>
            <w:r>
              <w:rPr>
                <w:rFonts w:hint="eastAsia" w:ascii="宋体" w:hAnsi="宋体" w:eastAsia="宋体" w:cs="宋体"/>
                <w:color w:val="auto"/>
                <w:kern w:val="2"/>
                <w:sz w:val="22"/>
                <w:szCs w:val="22"/>
                <w:highlight w:val="none"/>
                <w:lang w:val="en-US" w:eastAsia="zh-CN" w:bidi="ar-SA"/>
              </w:rPr>
              <w:t>方案（免费维保期内、免费维保期后）、售后服务网点、</w:t>
            </w:r>
            <w:r>
              <w:rPr>
                <w:rFonts w:hint="eastAsia" w:ascii="宋体" w:hAnsi="宋体" w:eastAsia="宋体" w:cs="宋体"/>
                <w:color w:val="auto"/>
                <w:kern w:val="2"/>
                <w:sz w:val="22"/>
                <w:szCs w:val="22"/>
                <w:highlight w:val="none"/>
                <w:lang w:val="zh-CN" w:eastAsia="zh-CN" w:bidi="ar-SA"/>
              </w:rPr>
              <w:t>响应时间、售后服务内容、及技术力量支撑情况</w:t>
            </w:r>
            <w:r>
              <w:rPr>
                <w:rFonts w:hint="eastAsia" w:ascii="宋体" w:hAnsi="宋体" w:eastAsia="宋体" w:cs="宋体"/>
                <w:color w:val="auto"/>
                <w:kern w:val="2"/>
                <w:sz w:val="22"/>
                <w:szCs w:val="22"/>
                <w:highlight w:val="none"/>
                <w:lang w:val="zh-TW" w:eastAsia="zh-CN" w:bidi="ar-SA"/>
              </w:rPr>
              <w:t>，</w:t>
            </w:r>
            <w:r>
              <w:rPr>
                <w:rFonts w:hint="eastAsia" w:ascii="宋体" w:hAnsi="宋体" w:eastAsia="宋体" w:cs="宋体"/>
                <w:color w:val="auto"/>
                <w:kern w:val="2"/>
                <w:sz w:val="22"/>
                <w:szCs w:val="22"/>
                <w:highlight w:val="none"/>
                <w:lang w:val="en-US" w:eastAsia="zh-CN" w:bidi="ar-SA"/>
              </w:rPr>
              <w:t>由评标委员会打分。</w:t>
            </w:r>
            <w:r>
              <w:rPr>
                <w:rFonts w:hint="eastAsia" w:ascii="宋体" w:hAnsi="宋体" w:eastAsia="宋体" w:cs="宋体"/>
                <w:color w:val="auto"/>
                <w:sz w:val="22"/>
                <w:szCs w:val="22"/>
                <w:highlight w:val="none"/>
              </w:rPr>
              <w:t>（评分范围：3；2；1；0）</w:t>
            </w:r>
          </w:p>
          <w:p w14:paraId="59069760">
            <w:pPr>
              <w:pStyle w:val="2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2、所有产品质保期满足采购文件最低要求（3年）的基础上，每延长一年加1分，最高得2分，延长时间不足一年不计入加分。</w:t>
            </w:r>
          </w:p>
        </w:tc>
      </w:tr>
      <w:tr w14:paraId="5DDB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shd w:val="clear" w:color="auto" w:fill="auto"/>
            <w:vAlign w:val="center"/>
          </w:tcPr>
          <w:p w14:paraId="52111CEC">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w:t>
            </w:r>
          </w:p>
        </w:tc>
        <w:tc>
          <w:tcPr>
            <w:tcW w:w="572" w:type="pct"/>
            <w:shd w:val="clear" w:color="auto" w:fill="auto"/>
            <w:vAlign w:val="center"/>
          </w:tcPr>
          <w:p w14:paraId="758F6AD7">
            <w:pPr>
              <w:pStyle w:val="28"/>
              <w:shd w:val="clear"/>
              <w:spacing w:before="0" w:beforeAutospacing="0" w:after="0" w:afterAutospacing="0"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优惠条件</w:t>
            </w:r>
          </w:p>
        </w:tc>
        <w:tc>
          <w:tcPr>
            <w:tcW w:w="462" w:type="pct"/>
            <w:vAlign w:val="center"/>
          </w:tcPr>
          <w:p w14:paraId="1A02A388">
            <w:pPr>
              <w:pStyle w:val="28"/>
              <w:shd w:val="clear"/>
              <w:spacing w:before="0" w:beforeAutospacing="0" w:after="0" w:afterAutospacing="0"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0-3分</w:t>
            </w:r>
          </w:p>
        </w:tc>
        <w:tc>
          <w:tcPr>
            <w:tcW w:w="3616" w:type="pct"/>
            <w:shd w:val="clear" w:color="auto" w:fill="auto"/>
            <w:vAlign w:val="center"/>
          </w:tcPr>
          <w:p w14:paraId="19910F59">
            <w:pPr>
              <w:shd w:val="clear"/>
              <w:spacing w:line="3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根据投标人针对本项目提供的实质性优惠</w:t>
            </w:r>
            <w:r>
              <w:rPr>
                <w:rFonts w:hint="eastAsia" w:ascii="宋体" w:hAnsi="宋体" w:eastAsia="宋体" w:cs="宋体"/>
                <w:color w:val="auto"/>
                <w:kern w:val="2"/>
                <w:sz w:val="22"/>
                <w:szCs w:val="22"/>
                <w:highlight w:val="none"/>
                <w:lang w:val="zh-TW" w:eastAsia="zh-CN" w:bidi="ar-SA"/>
              </w:rPr>
              <w:t>，</w:t>
            </w:r>
            <w:r>
              <w:rPr>
                <w:rFonts w:hint="eastAsia" w:ascii="宋体" w:hAnsi="宋体" w:eastAsia="宋体" w:cs="宋体"/>
                <w:color w:val="auto"/>
                <w:kern w:val="2"/>
                <w:sz w:val="22"/>
                <w:szCs w:val="22"/>
                <w:highlight w:val="none"/>
                <w:lang w:val="en-US" w:eastAsia="zh-CN" w:bidi="ar-SA"/>
              </w:rPr>
              <w:t>由评标委员会打分。</w:t>
            </w:r>
            <w:r>
              <w:rPr>
                <w:rFonts w:hint="eastAsia" w:ascii="宋体" w:hAnsi="宋体" w:eastAsia="宋体" w:cs="宋体"/>
                <w:color w:val="auto"/>
                <w:sz w:val="22"/>
                <w:szCs w:val="22"/>
                <w:highlight w:val="none"/>
              </w:rPr>
              <w:t>（评分范围：3；2；1；0）</w:t>
            </w:r>
          </w:p>
        </w:tc>
      </w:tr>
    </w:tbl>
    <w:p w14:paraId="5A5D9ACD">
      <w:pPr>
        <w:shd w:val="clea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2、报价分的评定</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0分）</w:t>
      </w:r>
    </w:p>
    <w:p w14:paraId="54088416">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满足采购文件要求且投标报价最低的投标报价为评标基准价，其余投标人投标报价与该基准价对比，计算出商务报价评分值。（保留小数2位）：</w:t>
      </w:r>
    </w:p>
    <w:p w14:paraId="65C0231F">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1）有效投标人的投标报价等于评标基准价时其报价分为满分</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分；</w:t>
      </w:r>
    </w:p>
    <w:p w14:paraId="17104204">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2）其他投标人的价格分按以下公式计算：</w:t>
      </w:r>
    </w:p>
    <w:p w14:paraId="65C1608D">
      <w:pPr>
        <w:shd w:val="clear"/>
        <w:adjustRightInd w:val="0"/>
        <w:snapToGrid w:val="0"/>
        <w:spacing w:line="360" w:lineRule="auto"/>
        <w:ind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报价得分=（评标基准价/投标人投标报价）×</w:t>
      </w:r>
      <w:r>
        <w:rPr>
          <w:rFonts w:hint="eastAsia" w:ascii="宋体" w:hAnsi="宋体" w:cs="宋体"/>
          <w:b/>
          <w:color w:val="auto"/>
          <w:kern w:val="0"/>
          <w:sz w:val="22"/>
          <w:szCs w:val="22"/>
          <w:highlight w:val="none"/>
          <w:u w:val="single"/>
          <w:lang w:val="en-US" w:eastAsia="zh-CN"/>
        </w:rPr>
        <w:t>3</w:t>
      </w:r>
      <w:r>
        <w:rPr>
          <w:rFonts w:hint="eastAsia" w:ascii="宋体" w:hAnsi="宋体" w:eastAsia="宋体" w:cs="宋体"/>
          <w:b/>
          <w:color w:val="auto"/>
          <w:kern w:val="0"/>
          <w:sz w:val="22"/>
          <w:szCs w:val="22"/>
          <w:highlight w:val="none"/>
          <w:u w:val="single"/>
          <w:lang w:val="en-US" w:eastAsia="zh-CN"/>
        </w:rPr>
        <w:t>0</w:t>
      </w:r>
      <w:r>
        <w:rPr>
          <w:rFonts w:hint="eastAsia" w:ascii="宋体" w:hAnsi="宋体" w:eastAsia="宋体" w:cs="宋体"/>
          <w:b/>
          <w:color w:val="auto"/>
          <w:kern w:val="0"/>
          <w:sz w:val="22"/>
          <w:szCs w:val="22"/>
          <w:highlight w:val="none"/>
          <w:u w:val="single"/>
        </w:rPr>
        <w:t>%×100（保留小数2位）</w:t>
      </w:r>
    </w:p>
    <w:p w14:paraId="46A1FDE7">
      <w:pPr>
        <w:shd w:val="clear"/>
        <w:adjustRightInd w:val="0"/>
        <w:snapToGrid w:val="0"/>
        <w:spacing w:line="360" w:lineRule="auto"/>
        <w:ind w:firstLine="442" w:firstLineChars="200"/>
        <w:rPr>
          <w:rFonts w:hint="eastAsia" w:ascii="宋体" w:hAnsi="宋体" w:eastAsia="宋体" w:cs="宋体"/>
          <w:b/>
          <w:bCs/>
          <w:color w:val="auto"/>
          <w:kern w:val="0"/>
          <w:sz w:val="22"/>
          <w:szCs w:val="22"/>
          <w:highlight w:val="none"/>
          <w:u w:val="single"/>
        </w:rPr>
      </w:pPr>
      <w:r>
        <w:rPr>
          <w:rFonts w:hint="eastAsia" w:ascii="宋体" w:hAnsi="宋体" w:eastAsia="宋体" w:cs="宋体"/>
          <w:b/>
          <w:color w:val="auto"/>
          <w:kern w:val="0"/>
          <w:sz w:val="22"/>
          <w:szCs w:val="22"/>
          <w:highlight w:val="none"/>
        </w:rPr>
        <w:t>3）▲</w:t>
      </w:r>
      <w:r>
        <w:rPr>
          <w:rFonts w:hint="eastAsia" w:ascii="宋体" w:hAnsi="宋体" w:eastAsia="宋体" w:cs="宋体"/>
          <w:b/>
          <w:color w:val="auto"/>
          <w:kern w:val="0"/>
          <w:sz w:val="22"/>
          <w:szCs w:val="22"/>
          <w:highlight w:val="none"/>
          <w:u w:val="single"/>
        </w:rPr>
        <w:t>本项目采购预算为</w:t>
      </w:r>
      <w:r>
        <w:rPr>
          <w:rFonts w:hint="eastAsia" w:ascii="宋体" w:hAnsi="宋体" w:eastAsia="宋体" w:cs="宋体"/>
          <w:b/>
          <w:color w:val="auto"/>
          <w:kern w:val="0"/>
          <w:sz w:val="22"/>
          <w:szCs w:val="22"/>
          <w:highlight w:val="none"/>
          <w:u w:val="single"/>
          <w:lang w:eastAsia="zh-CN"/>
        </w:rPr>
        <w:t>35万元</w:t>
      </w:r>
      <w:r>
        <w:rPr>
          <w:rFonts w:hint="eastAsia" w:ascii="宋体" w:hAnsi="宋体" w:eastAsia="宋体" w:cs="宋体"/>
          <w:b/>
          <w:color w:val="auto"/>
          <w:kern w:val="0"/>
          <w:sz w:val="22"/>
          <w:szCs w:val="22"/>
          <w:highlight w:val="none"/>
          <w:u w:val="single"/>
        </w:rPr>
        <w:t>。</w:t>
      </w:r>
      <w:r>
        <w:rPr>
          <w:rFonts w:hint="eastAsia" w:ascii="宋体" w:hAnsi="宋体" w:eastAsia="宋体" w:cs="宋体"/>
          <w:b/>
          <w:bCs/>
          <w:color w:val="auto"/>
          <w:kern w:val="0"/>
          <w:sz w:val="22"/>
          <w:szCs w:val="22"/>
          <w:highlight w:val="none"/>
          <w:u w:val="single"/>
        </w:rPr>
        <w:t>投标人投标报价超过</w:t>
      </w:r>
      <w:r>
        <w:rPr>
          <w:rFonts w:hint="eastAsia" w:ascii="宋体" w:hAnsi="宋体" w:eastAsia="宋体" w:cs="宋体"/>
          <w:b/>
          <w:color w:val="auto"/>
          <w:kern w:val="0"/>
          <w:sz w:val="22"/>
          <w:szCs w:val="22"/>
          <w:highlight w:val="none"/>
          <w:u w:val="single"/>
        </w:rPr>
        <w:t>采购预算</w:t>
      </w:r>
      <w:r>
        <w:rPr>
          <w:rFonts w:hint="eastAsia" w:ascii="宋体" w:hAnsi="宋体" w:eastAsia="宋体" w:cs="宋体"/>
          <w:b/>
          <w:bCs/>
          <w:color w:val="auto"/>
          <w:kern w:val="0"/>
          <w:sz w:val="22"/>
          <w:szCs w:val="22"/>
          <w:highlight w:val="none"/>
          <w:u w:val="single"/>
        </w:rPr>
        <w:t>的做无效标处理。</w:t>
      </w:r>
    </w:p>
    <w:p w14:paraId="4F966A59">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4）所有投标人投标报价均超过采购预算，采购人无法支付的，重新组织采购。</w:t>
      </w:r>
    </w:p>
    <w:p w14:paraId="587AB398">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3、有效投标人的综合得分为技术资信分和报价分的总和。</w:t>
      </w:r>
    </w:p>
    <w:p w14:paraId="7648B132">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4、评标委员会依据法律、法规及采购文件有关规定在有效标中按投标人的综合得分（技术资信分及报价分之和）高低进行排序，</w:t>
      </w:r>
      <w:r>
        <w:rPr>
          <w:rFonts w:hint="eastAsia" w:ascii="宋体" w:hAnsi="宋体" w:eastAsia="宋体" w:cs="宋体"/>
          <w:b/>
          <w:bCs/>
          <w:color w:val="auto"/>
          <w:sz w:val="22"/>
          <w:szCs w:val="22"/>
          <w:highlight w:val="none"/>
        </w:rPr>
        <w:t>当有效投标人数量为≥3家时，综合得分前二名的投标人推荐为第一、第二中标候选人</w:t>
      </w:r>
      <w:r>
        <w:rPr>
          <w:rFonts w:hint="eastAsia" w:ascii="宋体" w:hAnsi="宋体" w:eastAsia="宋体" w:cs="宋体"/>
          <w:color w:val="auto"/>
          <w:sz w:val="22"/>
          <w:szCs w:val="22"/>
          <w:highlight w:val="none"/>
        </w:rPr>
        <w:t>，并提交评标报告。综合得分相同的，按报价分由高到低顺序排列；综合得分且报价分相同的，由评标委员会成员抽签决定排序。</w:t>
      </w:r>
    </w:p>
    <w:p w14:paraId="5DC2C958">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五、定标办法</w:t>
      </w:r>
    </w:p>
    <w:p w14:paraId="14B30A51">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中标人。如第二中标候选人因前款规定的同样原因不能签订合同的，本次采购失败，重新组织采购。</w:t>
      </w:r>
    </w:p>
    <w:p w14:paraId="339F74A2">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六、确定中标人</w:t>
      </w:r>
    </w:p>
    <w:p w14:paraId="074A2EF7">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推荐的中标候选人经采购人确认，采购人或者采购代理机构应当自中标人确定之日起2个工作日内在乐采云平台、温州国企采购平台、温州市现代服务业发展集团有限公司网站、浙江东方职业技术学院网站上发布中标公告。公示期结束且无异议的，在规定期限内采购代理机构将向中标人发出中标通知书。</w:t>
      </w:r>
    </w:p>
    <w:p w14:paraId="43F8717A">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七、投标人义务</w:t>
      </w:r>
    </w:p>
    <w:p w14:paraId="2D26348E">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投标人应随时接受评标委员会的询标，解答包括有关的商务、技术问题等。评标结束，所有评标资料存采购机构备查</w:t>
      </w:r>
      <w:bookmarkEnd w:id="203"/>
      <w:r>
        <w:rPr>
          <w:rFonts w:hint="eastAsia" w:ascii="宋体" w:hAnsi="宋体" w:eastAsia="宋体" w:cs="宋体"/>
          <w:color w:val="auto"/>
          <w:sz w:val="22"/>
          <w:szCs w:val="22"/>
          <w:highlight w:val="none"/>
        </w:rPr>
        <w:t>。</w:t>
      </w:r>
    </w:p>
    <w:sectPr>
      <w:footerReference r:id="rId5" w:type="first"/>
      <w:footerReference r:id="rId4" w:type="default"/>
      <w:pgSz w:w="11906" w:h="16838"/>
      <w:pgMar w:top="1134" w:right="1134" w:bottom="1134" w:left="1134" w:header="851"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Verdana,Arial">
    <w:altName w:val="宋体"/>
    <w:panose1 w:val="020B0604020202020204"/>
    <w:charset w:val="86"/>
    <w:family w:val="roman"/>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CF23">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29867">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829867">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EDA2">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15E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D115E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9618">
    <w:pPr>
      <w:pStyle w:val="21"/>
      <w:pBdr>
        <w:bottom w:val="none" w:color="auto" w:sz="0" w:space="0"/>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03"/>
    <w:multiLevelType w:val="singleLevel"/>
    <w:tmpl w:val="00000003"/>
    <w:lvl w:ilvl="0" w:tentative="0">
      <w:start w:val="6"/>
      <w:numFmt w:val="chineseCounting"/>
      <w:suff w:val="nothing"/>
      <w:lvlText w:val="%1、"/>
      <w:lvlJc w:val="left"/>
      <w:rPr>
        <w:rFonts w:hint="eastAsia"/>
      </w:rPr>
    </w:lvl>
  </w:abstractNum>
  <w:abstractNum w:abstractNumId="7">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7"/>
    <w:lvlOverride w:ilv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8"/>
  </w:num>
  <w:num w:numId="3">
    <w:abstractNumId w:val="11"/>
  </w:num>
  <w:num w:numId="4">
    <w:abstractNumId w:val="3"/>
  </w:num>
  <w:num w:numId="5">
    <w:abstractNumId w:val="4"/>
  </w:num>
  <w:num w:numId="6">
    <w:abstractNumId w:val="5"/>
  </w:num>
  <w:num w:numId="7">
    <w:abstractNumId w:val="12"/>
  </w:num>
  <w:num w:numId="8">
    <w:abstractNumId w:val="10"/>
  </w:num>
  <w:num w:numId="9">
    <w:abstractNumId w:val="0"/>
  </w:num>
  <w:num w:numId="10">
    <w:abstractNumId w:val="2"/>
  </w:num>
  <w:num w:numId="11">
    <w:abstractNumId w:val="1"/>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06107D"/>
    <w:rsid w:val="00172A27"/>
    <w:rsid w:val="003B2F1E"/>
    <w:rsid w:val="00403D52"/>
    <w:rsid w:val="00516691"/>
    <w:rsid w:val="00625708"/>
    <w:rsid w:val="006E6BEE"/>
    <w:rsid w:val="007B4DD7"/>
    <w:rsid w:val="00844B14"/>
    <w:rsid w:val="008E21CD"/>
    <w:rsid w:val="00911EC4"/>
    <w:rsid w:val="00A40DC4"/>
    <w:rsid w:val="00C62B73"/>
    <w:rsid w:val="00DA7547"/>
    <w:rsid w:val="00ED4940"/>
    <w:rsid w:val="02BB7519"/>
    <w:rsid w:val="02E30C33"/>
    <w:rsid w:val="02FF7A7B"/>
    <w:rsid w:val="03B142F0"/>
    <w:rsid w:val="03CC21CB"/>
    <w:rsid w:val="03CC2450"/>
    <w:rsid w:val="03CD37B7"/>
    <w:rsid w:val="0443209E"/>
    <w:rsid w:val="047E54E3"/>
    <w:rsid w:val="049F56BE"/>
    <w:rsid w:val="05DB55B4"/>
    <w:rsid w:val="07BF30B9"/>
    <w:rsid w:val="07DF4A06"/>
    <w:rsid w:val="07E13FA5"/>
    <w:rsid w:val="07F8491F"/>
    <w:rsid w:val="08CD6F97"/>
    <w:rsid w:val="09322A6F"/>
    <w:rsid w:val="09941A4E"/>
    <w:rsid w:val="09D34C70"/>
    <w:rsid w:val="0A525D72"/>
    <w:rsid w:val="0A7E3AF3"/>
    <w:rsid w:val="0AA834EA"/>
    <w:rsid w:val="0AFD0EBC"/>
    <w:rsid w:val="0B406BCF"/>
    <w:rsid w:val="0C0F64D5"/>
    <w:rsid w:val="0CE4061C"/>
    <w:rsid w:val="0D4A16B9"/>
    <w:rsid w:val="0D5B2525"/>
    <w:rsid w:val="0E0716E1"/>
    <w:rsid w:val="13306A49"/>
    <w:rsid w:val="13325237"/>
    <w:rsid w:val="1492549E"/>
    <w:rsid w:val="14C42E24"/>
    <w:rsid w:val="156400F2"/>
    <w:rsid w:val="17105514"/>
    <w:rsid w:val="17530D90"/>
    <w:rsid w:val="17C31108"/>
    <w:rsid w:val="180C15CC"/>
    <w:rsid w:val="189C533B"/>
    <w:rsid w:val="192532A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202B6A56"/>
    <w:rsid w:val="21931DA4"/>
    <w:rsid w:val="21B6461C"/>
    <w:rsid w:val="221372D2"/>
    <w:rsid w:val="22257E14"/>
    <w:rsid w:val="22396D02"/>
    <w:rsid w:val="22D34BE4"/>
    <w:rsid w:val="22E076FD"/>
    <w:rsid w:val="23954028"/>
    <w:rsid w:val="23DE7FB3"/>
    <w:rsid w:val="248A4000"/>
    <w:rsid w:val="25C544AA"/>
    <w:rsid w:val="278D4CC6"/>
    <w:rsid w:val="284B1061"/>
    <w:rsid w:val="2A1E525F"/>
    <w:rsid w:val="2A683154"/>
    <w:rsid w:val="2AD5500C"/>
    <w:rsid w:val="2C4B194A"/>
    <w:rsid w:val="2C9F02F1"/>
    <w:rsid w:val="2CB928D3"/>
    <w:rsid w:val="2CFE1D90"/>
    <w:rsid w:val="2D355E3C"/>
    <w:rsid w:val="2DF621C2"/>
    <w:rsid w:val="2E5D02AD"/>
    <w:rsid w:val="2F004A3A"/>
    <w:rsid w:val="2F6FE6BC"/>
    <w:rsid w:val="2FC52FF3"/>
    <w:rsid w:val="2FF73487"/>
    <w:rsid w:val="2FF952D6"/>
    <w:rsid w:val="31154B7C"/>
    <w:rsid w:val="313A31DE"/>
    <w:rsid w:val="318218A5"/>
    <w:rsid w:val="31CD5602"/>
    <w:rsid w:val="33923820"/>
    <w:rsid w:val="33B0035E"/>
    <w:rsid w:val="355D580C"/>
    <w:rsid w:val="36170C1A"/>
    <w:rsid w:val="36A178BD"/>
    <w:rsid w:val="373B5585"/>
    <w:rsid w:val="373F602E"/>
    <w:rsid w:val="377D4BCE"/>
    <w:rsid w:val="377F1164"/>
    <w:rsid w:val="38147948"/>
    <w:rsid w:val="3843265D"/>
    <w:rsid w:val="3864437F"/>
    <w:rsid w:val="38C92D64"/>
    <w:rsid w:val="38DC54A0"/>
    <w:rsid w:val="3A5C3204"/>
    <w:rsid w:val="3AAB1AEF"/>
    <w:rsid w:val="3AB78710"/>
    <w:rsid w:val="3BF3026A"/>
    <w:rsid w:val="3BF462D3"/>
    <w:rsid w:val="3C8E718E"/>
    <w:rsid w:val="3CFD45D1"/>
    <w:rsid w:val="3D1A1B37"/>
    <w:rsid w:val="3DFE64BE"/>
    <w:rsid w:val="3E3416BA"/>
    <w:rsid w:val="3E505111"/>
    <w:rsid w:val="3F252EB9"/>
    <w:rsid w:val="404354D2"/>
    <w:rsid w:val="41A02ECB"/>
    <w:rsid w:val="421D499F"/>
    <w:rsid w:val="422D039B"/>
    <w:rsid w:val="42C7371B"/>
    <w:rsid w:val="431526EE"/>
    <w:rsid w:val="43185147"/>
    <w:rsid w:val="43AB1779"/>
    <w:rsid w:val="43E349CB"/>
    <w:rsid w:val="4807127C"/>
    <w:rsid w:val="481172CF"/>
    <w:rsid w:val="48341D21"/>
    <w:rsid w:val="49484D9E"/>
    <w:rsid w:val="495D19FB"/>
    <w:rsid w:val="49AB10AB"/>
    <w:rsid w:val="49B95C58"/>
    <w:rsid w:val="4A2F46F2"/>
    <w:rsid w:val="4AA6521F"/>
    <w:rsid w:val="4C0106EB"/>
    <w:rsid w:val="4CF7298A"/>
    <w:rsid w:val="4D64290A"/>
    <w:rsid w:val="4DE92D42"/>
    <w:rsid w:val="4E0812A4"/>
    <w:rsid w:val="4F0E73F7"/>
    <w:rsid w:val="4FBA5BF1"/>
    <w:rsid w:val="503D4F49"/>
    <w:rsid w:val="508C0EEC"/>
    <w:rsid w:val="50D643AB"/>
    <w:rsid w:val="51A5761B"/>
    <w:rsid w:val="549F7FCC"/>
    <w:rsid w:val="54C206AE"/>
    <w:rsid w:val="56DF2CB7"/>
    <w:rsid w:val="57B25F24"/>
    <w:rsid w:val="589D1393"/>
    <w:rsid w:val="58F7575D"/>
    <w:rsid w:val="59464185"/>
    <w:rsid w:val="59703563"/>
    <w:rsid w:val="599E09E1"/>
    <w:rsid w:val="5AA2046F"/>
    <w:rsid w:val="5BE50458"/>
    <w:rsid w:val="5C436584"/>
    <w:rsid w:val="5C8B68AB"/>
    <w:rsid w:val="5DEF3EFC"/>
    <w:rsid w:val="5ED6A438"/>
    <w:rsid w:val="5EE1070F"/>
    <w:rsid w:val="5EF70A85"/>
    <w:rsid w:val="5F7FC698"/>
    <w:rsid w:val="604B709C"/>
    <w:rsid w:val="606B19BF"/>
    <w:rsid w:val="60B0384B"/>
    <w:rsid w:val="60CB67FA"/>
    <w:rsid w:val="62C01F68"/>
    <w:rsid w:val="63F70074"/>
    <w:rsid w:val="647B267E"/>
    <w:rsid w:val="64B259E8"/>
    <w:rsid w:val="653254BC"/>
    <w:rsid w:val="67B35354"/>
    <w:rsid w:val="67D3071F"/>
    <w:rsid w:val="68EE6C80"/>
    <w:rsid w:val="6A3F2599"/>
    <w:rsid w:val="6AA400A6"/>
    <w:rsid w:val="6C7930D7"/>
    <w:rsid w:val="6C7B51AA"/>
    <w:rsid w:val="6DDCC829"/>
    <w:rsid w:val="6E1B2BD6"/>
    <w:rsid w:val="6E4E4701"/>
    <w:rsid w:val="6EF27F75"/>
    <w:rsid w:val="6F46123E"/>
    <w:rsid w:val="6F990A94"/>
    <w:rsid w:val="6FBF1427"/>
    <w:rsid w:val="6FF25693"/>
    <w:rsid w:val="6FFF3FBA"/>
    <w:rsid w:val="6FFFE540"/>
    <w:rsid w:val="70596115"/>
    <w:rsid w:val="70885A5A"/>
    <w:rsid w:val="70C523B7"/>
    <w:rsid w:val="718018F4"/>
    <w:rsid w:val="7188117E"/>
    <w:rsid w:val="71BD3A1D"/>
    <w:rsid w:val="72286F9C"/>
    <w:rsid w:val="72D51F74"/>
    <w:rsid w:val="72FCA68B"/>
    <w:rsid w:val="73F3DCB7"/>
    <w:rsid w:val="73F771E6"/>
    <w:rsid w:val="73FF2D68"/>
    <w:rsid w:val="7499095B"/>
    <w:rsid w:val="74F85D0A"/>
    <w:rsid w:val="759408DA"/>
    <w:rsid w:val="75FB5E6D"/>
    <w:rsid w:val="765F5889"/>
    <w:rsid w:val="76DB5A00"/>
    <w:rsid w:val="77471FC0"/>
    <w:rsid w:val="77A47ACB"/>
    <w:rsid w:val="77BE1BD1"/>
    <w:rsid w:val="79B21B18"/>
    <w:rsid w:val="7B003272"/>
    <w:rsid w:val="7B007EB6"/>
    <w:rsid w:val="7B3911A8"/>
    <w:rsid w:val="7B4231CA"/>
    <w:rsid w:val="7BFFA043"/>
    <w:rsid w:val="7C194E87"/>
    <w:rsid w:val="7C550943"/>
    <w:rsid w:val="7C891949"/>
    <w:rsid w:val="7D5B666E"/>
    <w:rsid w:val="7E2117BD"/>
    <w:rsid w:val="7E470AF8"/>
    <w:rsid w:val="7EBFEBF4"/>
    <w:rsid w:val="7ED78798"/>
    <w:rsid w:val="7EF72B6D"/>
    <w:rsid w:val="7EFBB3F4"/>
    <w:rsid w:val="7EFE55D8"/>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bCs/>
    </w:rPr>
  </w:style>
  <w:style w:type="paragraph" w:styleId="3">
    <w:name w:val="heading 2"/>
    <w:basedOn w:val="1"/>
    <w:next w:val="1"/>
    <w:link w:val="42"/>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7">
    <w:name w:val="heading 6"/>
    <w:basedOn w:val="1"/>
    <w:next w:val="1"/>
    <w:qFormat/>
    <w:uiPriority w:val="0"/>
    <w:pPr>
      <w:keepNext/>
      <w:keepLines/>
      <w:spacing w:before="240" w:after="64" w:line="319" w:lineRule="auto"/>
      <w:outlineLvl w:val="5"/>
    </w:pPr>
    <w:rPr>
      <w:rFonts w:ascii="Arial" w:hAnsi="Arial" w:eastAsia="黑体"/>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312" w:lineRule="atLeast"/>
      <w:ind w:firstLine="420"/>
      <w:textAlignment w:val="baseline"/>
    </w:pPr>
    <w:rPr>
      <w:kern w:val="0"/>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next w:val="1"/>
    <w:qFormat/>
    <w:uiPriority w:val="0"/>
    <w:pPr>
      <w:ind w:left="200" w:hanging="200" w:hangingChars="200"/>
    </w:pPr>
    <w:rPr>
      <w:sz w:val="24"/>
    </w:rPr>
  </w:style>
  <w:style w:type="paragraph" w:styleId="13">
    <w:name w:val="Block Text"/>
    <w:basedOn w:val="1"/>
    <w:next w:val="1"/>
    <w:qFormat/>
    <w:uiPriority w:val="0"/>
    <w:pPr>
      <w:spacing w:after="120"/>
      <w:ind w:left="700" w:leftChars="700" w:right="700" w:rightChars="700"/>
    </w:pPr>
  </w:style>
  <w:style w:type="paragraph" w:styleId="14">
    <w:name w:val="toc 3"/>
    <w:basedOn w:val="1"/>
    <w:next w:val="1"/>
    <w:qFormat/>
    <w:uiPriority w:val="0"/>
    <w:pPr>
      <w:ind w:left="400" w:leftChars="400"/>
    </w:pPr>
  </w:style>
  <w:style w:type="paragraph" w:styleId="15">
    <w:name w:val="Plain Text"/>
    <w:basedOn w:val="1"/>
    <w:qFormat/>
    <w:uiPriority w:val="0"/>
    <w:pPr>
      <w:widowControl/>
      <w:overflowPunct w:val="0"/>
      <w:autoSpaceDE w:val="0"/>
      <w:autoSpaceDN w:val="0"/>
      <w:adjustRightInd w:val="0"/>
      <w:jc w:val="left"/>
      <w:textAlignment w:val="baseline"/>
    </w:pPr>
    <w:rPr>
      <w:rFonts w:ascii="宋体"/>
      <w:kern w:val="0"/>
      <w:szCs w:val="21"/>
    </w:rPr>
  </w:style>
  <w:style w:type="paragraph" w:styleId="16">
    <w:name w:val="Date"/>
    <w:basedOn w:val="1"/>
    <w:next w:val="1"/>
    <w:qFormat/>
    <w:uiPriority w:val="0"/>
    <w:pPr>
      <w:ind w:left="2500" w:leftChars="2500"/>
    </w:pPr>
  </w:style>
  <w:style w:type="paragraph" w:styleId="17">
    <w:name w:val="Body Text Indent 2"/>
    <w:basedOn w:val="1"/>
    <w:qFormat/>
    <w:uiPriority w:val="0"/>
    <w:pPr>
      <w:spacing w:line="500" w:lineRule="exact"/>
      <w:ind w:firstLine="213" w:firstLineChars="213"/>
    </w:pPr>
    <w:rPr>
      <w:sz w:val="24"/>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9628"/>
      </w:tabs>
      <w:spacing w:line="480" w:lineRule="auto"/>
    </w:pPr>
    <w:rPr>
      <w:rFonts w:ascii="Arial" w:hAnsi="Arial" w:eastAsia="新宋体" w:cs="Arial"/>
      <w:bCs/>
      <w:sz w:val="24"/>
    </w:rPr>
  </w:style>
  <w:style w:type="paragraph" w:styleId="23">
    <w:name w:val="toc 4"/>
    <w:basedOn w:val="1"/>
    <w:next w:val="1"/>
    <w:qFormat/>
    <w:uiPriority w:val="0"/>
    <w:pPr>
      <w:autoSpaceDE w:val="0"/>
      <w:autoSpaceDN w:val="0"/>
      <w:adjustRightInd w:val="0"/>
      <w:ind w:left="600" w:leftChars="600"/>
      <w:jc w:val="left"/>
    </w:pPr>
    <w:rPr>
      <w:kern w:val="0"/>
      <w:sz w:val="20"/>
      <w:szCs w:val="20"/>
    </w:r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1050"/>
      <w:jc w:val="left"/>
    </w:pPr>
    <w:rPr>
      <w:sz w:val="18"/>
      <w:szCs w:val="18"/>
    </w:rPr>
  </w:style>
  <w:style w:type="paragraph" w:styleId="26">
    <w:name w:val="Body Text Indent 3"/>
    <w:basedOn w:val="1"/>
    <w:qFormat/>
    <w:uiPriority w:val="0"/>
    <w:pPr>
      <w:spacing w:line="500" w:lineRule="exact"/>
      <w:ind w:left="213" w:hanging="213" w:hangingChars="213"/>
    </w:pPr>
    <w:rPr>
      <w:sz w:val="24"/>
    </w:rPr>
  </w:style>
  <w:style w:type="paragraph" w:styleId="27">
    <w:name w:val="toc 2"/>
    <w:basedOn w:val="1"/>
    <w:next w:val="1"/>
    <w:qFormat/>
    <w:uiPriority w:val="0"/>
    <w:pPr>
      <w:ind w:left="200" w:leftChars="200"/>
    </w:pPr>
  </w:style>
  <w:style w:type="paragraph" w:styleId="28">
    <w:name w:val="Normal (Web)"/>
    <w:basedOn w:val="1"/>
    <w:qFormat/>
    <w:uiPriority w:val="0"/>
    <w:pPr>
      <w:widowControl/>
      <w:spacing w:before="100" w:beforeAutospacing="1" w:after="100" w:afterAutospacing="1"/>
      <w:jc w:val="left"/>
    </w:pPr>
    <w:rPr>
      <w:rFonts w:ascii="宋体" w:cs="宋体"/>
      <w:kern w:val="0"/>
      <w:sz w:val="24"/>
    </w:rPr>
  </w:style>
  <w:style w:type="paragraph" w:styleId="29">
    <w:name w:val="Title"/>
    <w:basedOn w:val="1"/>
    <w:qFormat/>
    <w:uiPriority w:val="0"/>
    <w:pPr>
      <w:spacing w:before="240" w:after="60"/>
      <w:jc w:val="center"/>
      <w:outlineLvl w:val="0"/>
    </w:pPr>
    <w:rPr>
      <w:rFonts w:ascii="Arial" w:hAnsi="Arial"/>
      <w:b/>
      <w:bCs/>
      <w:sz w:val="32"/>
      <w:szCs w:val="32"/>
      <w:lang w:val="zh-CN"/>
    </w:rPr>
  </w:style>
  <w:style w:type="paragraph" w:styleId="30">
    <w:name w:val="annotation subject"/>
    <w:basedOn w:val="10"/>
    <w:next w:val="10"/>
    <w:qFormat/>
    <w:uiPriority w:val="0"/>
    <w:rPr>
      <w:b/>
      <w:bCs/>
    </w:rPr>
  </w:style>
  <w:style w:type="paragraph" w:styleId="31">
    <w:name w:val="Body Text First Indent"/>
    <w:basedOn w:val="11"/>
    <w:next w:val="1"/>
    <w:qFormat/>
    <w:uiPriority w:val="0"/>
    <w:pPr>
      <w:ind w:firstLine="100" w:firstLineChars="100"/>
    </w:pPr>
  </w:style>
  <w:style w:type="paragraph" w:styleId="32">
    <w:name w:val="Body Text First Indent 2"/>
    <w:basedOn w:val="12"/>
    <w:qFormat/>
    <w:uiPriority w:val="0"/>
    <w:pPr>
      <w:spacing w:after="120"/>
      <w:ind w:leftChars="200" w:firstLine="200" w:firstLineChars="200"/>
    </w:pPr>
    <w:rPr>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字符"/>
    <w:link w:val="3"/>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8"/>
    <w:qFormat/>
    <w:uiPriority w:val="0"/>
    <w:pPr>
      <w:adjustRightInd/>
      <w:spacing w:line="360" w:lineRule="auto"/>
      <w:ind w:firstLine="200" w:firstLineChars="200"/>
      <w:textAlignment w:val="auto"/>
    </w:pPr>
    <w:rPr>
      <w:kern w:val="2"/>
      <w:sz w:val="24"/>
      <w:lang w:val="zh-CN"/>
    </w:rPr>
  </w:style>
  <w:style w:type="paragraph" w:customStyle="1" w:styleId="62">
    <w:name w:val="Char Char Char Char1"/>
    <w:basedOn w:val="1"/>
    <w:qFormat/>
    <w:uiPriority w:val="0"/>
    <w:rPr>
      <w:rFonts w:ascii="Tahoma" w:hAnsi="Tahoma"/>
      <w:sz w:val="24"/>
      <w:szCs w:val="20"/>
    </w:rPr>
  </w:style>
  <w:style w:type="paragraph" w:customStyle="1" w:styleId="63">
    <w:name w:val="Char Char Char Char Char Char Char"/>
    <w:basedOn w:val="1"/>
    <w:qFormat/>
    <w:uiPriority w:val="0"/>
    <w:rPr>
      <w:rFonts w:ascii="仿宋_GB2312" w:eastAsia="仿宋_GB2312"/>
      <w:b/>
      <w:sz w:val="32"/>
      <w:szCs w:val="32"/>
    </w:rPr>
  </w:style>
  <w:style w:type="paragraph" w:customStyle="1" w:styleId="64">
    <w:name w:val="style31"/>
    <w:basedOn w:val="1"/>
    <w:qFormat/>
    <w:uiPriority w:val="0"/>
    <w:pPr>
      <w:widowControl/>
      <w:spacing w:before="100" w:beforeAutospacing="1" w:after="100" w:afterAutospacing="1"/>
      <w:jc w:val="left"/>
    </w:pPr>
    <w:rPr>
      <w:rFonts w:ascii="宋体" w:cs="宋体"/>
      <w:kern w:val="0"/>
      <w:sz w:val="24"/>
    </w:rPr>
  </w:style>
  <w:style w:type="paragraph" w:customStyle="1" w:styleId="65">
    <w:name w:val="Char Char Char Char"/>
    <w:basedOn w:val="9"/>
    <w:qFormat/>
    <w:uiPriority w:val="0"/>
    <w:rPr>
      <w:rFonts w:ascii="Tahoma" w:hAnsi="Tahoma"/>
      <w:sz w:val="24"/>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68"/>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Char Char3"/>
    <w:basedOn w:val="1"/>
    <w:qFormat/>
    <w:uiPriority w:val="0"/>
    <w:rPr>
      <w:rFonts w:ascii="Tahoma" w:hAnsi="Tahoma"/>
      <w:sz w:val="24"/>
      <w:szCs w:val="20"/>
    </w:rPr>
  </w:style>
  <w:style w:type="paragraph" w:customStyle="1" w:styleId="70">
    <w:name w:val="保留正文"/>
    <w:basedOn w:val="11"/>
    <w:qFormat/>
    <w:uiPriority w:val="0"/>
    <w:pPr>
      <w:keepNext/>
      <w:spacing w:after="160"/>
    </w:pPr>
  </w:style>
  <w:style w:type="paragraph" w:customStyle="1" w:styleId="71">
    <w:name w:val="_Style 60"/>
    <w:basedOn w:val="11"/>
    <w:next w:val="31"/>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sz w:val="24"/>
      <w:szCs w:val="20"/>
    </w:rPr>
  </w:style>
  <w:style w:type="paragraph" w:customStyle="1" w:styleId="73">
    <w:name w:val="Char Char Char Char Char Char Char1"/>
    <w:basedOn w:val="1"/>
    <w:qFormat/>
    <w:uiPriority w:val="0"/>
    <w:rPr>
      <w:rFonts w:ascii="仿宋_GB2312" w:eastAsia="仿宋_GB2312"/>
      <w:b/>
      <w:sz w:val="32"/>
      <w:szCs w:val="32"/>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11"/>
    <w:next w:val="31"/>
    <w:qFormat/>
    <w:uiPriority w:val="0"/>
    <w:pPr>
      <w:ind w:firstLine="100" w:firstLineChars="100"/>
    </w:pPr>
  </w:style>
  <w:style w:type="paragraph" w:customStyle="1" w:styleId="77">
    <w:name w:val="Char Char1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11"/>
    <w:qFormat/>
    <w:uiPriority w:val="0"/>
    <w:pPr>
      <w:jc w:val="left"/>
    </w:pPr>
    <w:rPr>
      <w:kern w:val="21"/>
      <w:szCs w:val="21"/>
    </w:rPr>
  </w:style>
  <w:style w:type="paragraph" w:customStyle="1" w:styleId="80">
    <w:name w:val="Char Char1 Char Char Char Char Char Char1"/>
    <w:basedOn w:val="1"/>
    <w:qFormat/>
    <w:uiPriority w:val="0"/>
    <w:pPr>
      <w:widowControl/>
      <w:spacing w:after="160" w:line="240" w:lineRule="exact"/>
      <w:jc w:val="left"/>
    </w:pPr>
    <w:rPr>
      <w:rFonts w:ascii="宋体" w:cs="宋体"/>
      <w:kern w:val="0"/>
      <w:szCs w:val="20"/>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sz w:val="24"/>
      <w:szCs w:val="20"/>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85">
    <w:name w:val="Char Char7 Char"/>
    <w:basedOn w:val="1"/>
    <w:qFormat/>
    <w:uiPriority w:val="0"/>
    <w:pPr>
      <w:tabs>
        <w:tab w:val="left" w:pos="425"/>
      </w:tabs>
      <w:ind w:left="200" w:leftChars="200" w:firstLine="150" w:firstLineChars="150"/>
    </w:pPr>
  </w:style>
  <w:style w:type="paragraph" w:customStyle="1" w:styleId="86">
    <w:name w:val="Char1 Char Char Char"/>
    <w:basedOn w:val="1"/>
    <w:qFormat/>
    <w:uiPriority w:val="0"/>
    <w:rPr>
      <w:rFonts w:ascii="Tahoma" w:hAnsi="Tahoma"/>
      <w:sz w:val="24"/>
      <w:szCs w:val="20"/>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rPr>
  </w:style>
  <w:style w:type="paragraph" w:customStyle="1" w:styleId="89">
    <w:name w:val="Char Char"/>
    <w:basedOn w:val="1"/>
    <w:qFormat/>
    <w:uiPriority w:val="0"/>
    <w:rPr>
      <w:rFonts w:ascii="仿宋_GB2312" w:eastAsia="仿宋_GB2312"/>
      <w:b/>
      <w:sz w:val="32"/>
      <w:szCs w:val="32"/>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11"/>
    <w:next w:val="31"/>
    <w:qFormat/>
    <w:uiPriority w:val="0"/>
    <w:pPr>
      <w:ind w:firstLine="100" w:firstLineChars="100"/>
    </w:pPr>
    <w:rPr>
      <w:rFonts w:ascii="Calibri" w:hAnsi="Calibri"/>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Char Char Char Char Char Char Char Char Char Char Char Char Char"/>
    <w:basedOn w:val="1"/>
    <w:qFormat/>
    <w:uiPriority w:val="0"/>
    <w:rPr>
      <w:rFonts w:ascii="Tahoma" w:hAnsi="Tahoma"/>
      <w:sz w:val="24"/>
      <w:szCs w:val="20"/>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style>
  <w:style w:type="paragraph" w:customStyle="1" w:styleId="98">
    <w:name w:val="Table Paragraph"/>
    <w:basedOn w:val="1"/>
    <w:qFormat/>
    <w:uiPriority w:val="0"/>
    <w:rPr>
      <w:rFonts w:ascii="宋体" w:cs="宋体"/>
      <w:lang w:val="zh-CN" w:bidi="zh-CN"/>
    </w:rPr>
  </w:style>
  <w:style w:type="paragraph" w:customStyle="1" w:styleId="99">
    <w:name w:val="Char Char Char Char Char Char Char Char Char Char Char Char Char2"/>
    <w:basedOn w:val="1"/>
    <w:qFormat/>
    <w:uiPriority w:val="0"/>
    <w:rPr>
      <w:rFonts w:ascii="Tahoma" w:hAnsi="Tahoma"/>
      <w:sz w:val="24"/>
      <w:szCs w:val="20"/>
    </w:rPr>
  </w:style>
  <w:style w:type="paragraph" w:customStyle="1" w:styleId="100">
    <w:name w:val="正文－恩普"/>
    <w:basedOn w:val="8"/>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01">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02">
    <w:name w:val="_Style 44"/>
    <w:basedOn w:val="8"/>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03">
    <w:name w:val="Other|1"/>
    <w:basedOn w:val="1"/>
    <w:qFormat/>
    <w:uiPriority w:val="0"/>
    <w:pPr>
      <w:spacing w:after="60" w:line="338" w:lineRule="auto"/>
      <w:ind w:firstLine="400"/>
    </w:pPr>
    <w:rPr>
      <w:rFonts w:ascii="宋体" w:hAnsi="宋体" w:cs="宋体"/>
      <w:sz w:val="26"/>
      <w:szCs w:val="26"/>
      <w:lang w:val="zh-TW" w:eastAsia="zh-TW" w:bidi="zh-TW"/>
    </w:rPr>
  </w:style>
  <w:style w:type="character" w:customStyle="1" w:styleId="104">
    <w:name w:val="font11"/>
    <w:qFormat/>
    <w:uiPriority w:val="0"/>
    <w:rPr>
      <w:rFonts w:hint="eastAsia" w:ascii="宋体" w:hAnsi="宋体" w:eastAsia="宋体" w:cs="宋体"/>
      <w:color w:val="000000"/>
      <w:sz w:val="20"/>
      <w:szCs w:val="20"/>
      <w:u w:val="none"/>
    </w:rPr>
  </w:style>
  <w:style w:type="character" w:customStyle="1" w:styleId="105">
    <w:name w:val="font91"/>
    <w:qFormat/>
    <w:uiPriority w:val="0"/>
    <w:rPr>
      <w:rFonts w:hint="eastAsia" w:ascii="宋体" w:hAnsi="宋体" w:eastAsia="宋体" w:cs="宋体"/>
      <w:b/>
      <w:bCs/>
      <w:color w:val="000000"/>
      <w:sz w:val="20"/>
      <w:szCs w:val="20"/>
      <w:u w:val="none"/>
    </w:rPr>
  </w:style>
  <w:style w:type="paragraph" w:customStyle="1" w:styleId="1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13389</Words>
  <Characters>14025</Characters>
  <Lines>217</Lines>
  <Paragraphs>61</Paragraphs>
  <TotalTime>44</TotalTime>
  <ScaleCrop>false</ScaleCrop>
  <LinksUpToDate>false</LinksUpToDate>
  <CharactersWithSpaces>14137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2025-10-10T06:11:23Z</dcterms:modified>
  <dc:title>温州市政府采购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72AD540E491B4987A79C08DAFF5F5E56_13</vt:lpwstr>
  </property>
  <property fmtid="{D5CDD505-2E9C-101B-9397-08002B2CF9AE}" pid="4" name="KSOTemplateDocerSaveRecord">
    <vt:lpwstr>eyJoZGlkIjoiMWI0ZDBjZGUxZTRhYzNhODhhZDhlN2M2ZGRmZjhmNDEiLCJ1c2VySWQiOiI0NDMyMjIyNTMifQ==</vt:lpwstr>
  </property>
</Properties>
</file>