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FA223">
      <w:pPr>
        <w:pStyle w:val="16"/>
        <w:tabs>
          <w:tab w:val="left" w:pos="3058"/>
        </w:tabs>
        <w:spacing w:after="240" w:line="240" w:lineRule="auto"/>
        <w:ind w:left="0" w:leftChars="0" w:firstLine="0" w:firstLineChars="0"/>
        <w:rPr>
          <w:rFonts w:ascii="微软雅黑" w:hAnsi="微软雅黑" w:eastAsia="微软雅黑"/>
          <w:spacing w:val="0"/>
          <w:sz w:val="52"/>
          <w:szCs w:val="52"/>
          <w:shd w:val="pct10" w:color="auto" w:fill="FFFFFF"/>
        </w:rPr>
      </w:pPr>
      <w:r>
        <w:rPr>
          <w:rFonts w:hint="eastAsia" w:ascii="微软雅黑" w:hAnsi="微软雅黑" w:eastAsia="微软雅黑"/>
          <w:spacing w:val="0"/>
          <w:sz w:val="52"/>
          <w:szCs w:val="52"/>
          <w:shd w:val="pct10" w:color="auto" w:fill="FFFFFF"/>
          <w:lang w:eastAsia="zh-CN"/>
        </w:rPr>
        <w:tab/>
      </w:r>
      <w:r>
        <w:rPr>
          <w:rFonts w:hint="eastAsia" w:ascii="微软雅黑" w:hAnsi="微软雅黑" w:eastAsia="微软雅黑"/>
          <w:spacing w:val="0"/>
          <w:sz w:val="52"/>
          <w:szCs w:val="52"/>
          <w:shd w:val="pct10" w:color="auto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spacing w:val="0"/>
          <w:sz w:val="52"/>
          <w:szCs w:val="52"/>
          <w:shd w:val="pct10" w:color="auto" w:fill="FFFFFF"/>
        </w:rPr>
        <w:t xml:space="preserve">采价单 </w:t>
      </w:r>
      <w:r>
        <w:rPr>
          <w:rFonts w:ascii="微软雅黑" w:hAnsi="微软雅黑" w:eastAsia="微软雅黑"/>
          <w:spacing w:val="0"/>
          <w:sz w:val="52"/>
          <w:szCs w:val="52"/>
          <w:shd w:val="pct10" w:color="auto" w:fill="FFFFFF"/>
        </w:rPr>
        <w:t xml:space="preserve">                         </w:t>
      </w:r>
    </w:p>
    <w:tbl>
      <w:tblPr>
        <w:tblStyle w:val="8"/>
        <w:tblW w:w="8145" w:type="dxa"/>
        <w:tblInd w:w="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3105"/>
        <w:gridCol w:w="885"/>
        <w:gridCol w:w="2910"/>
      </w:tblGrid>
      <w:tr w14:paraId="05A9E1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245" w:type="dxa"/>
            <w:vAlign w:val="center"/>
          </w:tcPr>
          <w:p w14:paraId="196C2CAC">
            <w:pPr>
              <w:pStyle w:val="15"/>
              <w:ind w:right="-278" w:rightChars="-139"/>
              <w:jc w:val="both"/>
              <w:rPr>
                <w:rStyle w:val="14"/>
                <w:rFonts w:ascii="微软雅黑" w:hAnsi="微软雅黑" w:eastAsia="微软雅黑"/>
                <w:sz w:val="24"/>
              </w:rPr>
            </w:pPr>
            <w:r>
              <w:rPr>
                <w:rStyle w:val="14"/>
                <w:rFonts w:hint="eastAsia" w:ascii="微软雅黑" w:hAnsi="微软雅黑" w:eastAsia="微软雅黑"/>
                <w:sz w:val="24"/>
              </w:rPr>
              <w:t>报价单位：</w:t>
            </w:r>
          </w:p>
        </w:tc>
        <w:tc>
          <w:tcPr>
            <w:tcW w:w="3105" w:type="dxa"/>
            <w:tcBorders>
              <w:bottom w:val="single" w:color="auto" w:sz="4" w:space="0"/>
            </w:tcBorders>
            <w:vAlign w:val="center"/>
          </w:tcPr>
          <w:p w14:paraId="31FEA7DE">
            <w:pPr>
              <w:pStyle w:val="15"/>
              <w:jc w:val="both"/>
              <w:rPr>
                <w:sz w:val="21"/>
              </w:rPr>
            </w:pPr>
          </w:p>
        </w:tc>
        <w:tc>
          <w:tcPr>
            <w:tcW w:w="885" w:type="dxa"/>
            <w:vAlign w:val="center"/>
          </w:tcPr>
          <w:p w14:paraId="56CC751A">
            <w:pPr>
              <w:pStyle w:val="15"/>
              <w:jc w:val="both"/>
              <w:rPr>
                <w:rFonts w:ascii="微软雅黑" w:hAnsi="微软雅黑" w:eastAsia="微软雅黑"/>
                <w:sz w:val="24"/>
              </w:rPr>
            </w:pPr>
            <w:r>
              <w:rPr>
                <w:rStyle w:val="14"/>
                <w:rFonts w:hint="eastAsia" w:ascii="微软雅黑" w:hAnsi="微软雅黑" w:eastAsia="微软雅黑"/>
                <w:sz w:val="24"/>
              </w:rPr>
              <w:t>联系人：</w:t>
            </w:r>
          </w:p>
        </w:tc>
        <w:tc>
          <w:tcPr>
            <w:tcW w:w="2910" w:type="dxa"/>
            <w:tcBorders>
              <w:bottom w:val="single" w:color="auto" w:sz="4" w:space="0"/>
            </w:tcBorders>
            <w:vAlign w:val="center"/>
          </w:tcPr>
          <w:p w14:paraId="2BBD2BB4">
            <w:pPr>
              <w:pStyle w:val="15"/>
              <w:ind w:firstLine="290" w:firstLineChars="121"/>
              <w:jc w:val="both"/>
              <w:rPr>
                <w:sz w:val="24"/>
              </w:rPr>
            </w:pPr>
          </w:p>
        </w:tc>
      </w:tr>
      <w:tr w14:paraId="53AC76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exact"/>
        </w:trPr>
        <w:tc>
          <w:tcPr>
            <w:tcW w:w="1245" w:type="dxa"/>
            <w:vAlign w:val="center"/>
          </w:tcPr>
          <w:p w14:paraId="3AB8AEB5">
            <w:pPr>
              <w:pStyle w:val="15"/>
              <w:ind w:right="-178" w:rightChars="-89"/>
              <w:jc w:val="both"/>
              <w:rPr>
                <w:rStyle w:val="14"/>
                <w:rFonts w:ascii="微软雅黑" w:hAnsi="微软雅黑" w:eastAsia="微软雅黑"/>
                <w:sz w:val="24"/>
              </w:rPr>
            </w:pPr>
            <w:r>
              <w:rPr>
                <w:rStyle w:val="14"/>
                <w:rFonts w:hint="eastAsia" w:ascii="微软雅黑" w:hAnsi="微软雅黑" w:eastAsia="微软雅黑"/>
                <w:sz w:val="24"/>
              </w:rPr>
              <w:t>联系电话：</w:t>
            </w:r>
          </w:p>
        </w:tc>
        <w:tc>
          <w:tcPr>
            <w:tcW w:w="3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0E4117">
            <w:pPr>
              <w:pStyle w:val="15"/>
              <w:jc w:val="both"/>
              <w:rPr>
                <w:sz w:val="21"/>
              </w:rPr>
            </w:pPr>
          </w:p>
        </w:tc>
        <w:tc>
          <w:tcPr>
            <w:tcW w:w="885" w:type="dxa"/>
            <w:vAlign w:val="center"/>
          </w:tcPr>
          <w:p w14:paraId="1A39B1AC">
            <w:pPr>
              <w:pStyle w:val="15"/>
              <w:jc w:val="both"/>
              <w:rPr>
                <w:rFonts w:ascii="微软雅黑" w:hAnsi="微软雅黑" w:eastAsia="微软雅黑"/>
                <w:sz w:val="24"/>
              </w:rPr>
            </w:pPr>
            <w:r>
              <w:rPr>
                <w:rStyle w:val="14"/>
                <w:rFonts w:hint="eastAsia" w:ascii="微软雅黑" w:hAnsi="微软雅黑" w:eastAsia="微软雅黑"/>
                <w:sz w:val="24"/>
              </w:rPr>
              <w:t>日期：</w:t>
            </w:r>
          </w:p>
        </w:tc>
        <w:tc>
          <w:tcPr>
            <w:tcW w:w="29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FC2013">
            <w:pPr>
              <w:pStyle w:val="15"/>
              <w:ind w:firstLine="290" w:firstLineChars="121"/>
              <w:jc w:val="both"/>
              <w:rPr>
                <w:sz w:val="24"/>
                <w:lang w:val="en-US"/>
              </w:rPr>
            </w:pPr>
          </w:p>
        </w:tc>
      </w:tr>
      <w:tr w14:paraId="2391C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245" w:type="dxa"/>
            <w:vAlign w:val="center"/>
          </w:tcPr>
          <w:p w14:paraId="673CCE26">
            <w:pPr>
              <w:pStyle w:val="15"/>
              <w:jc w:val="both"/>
              <w:rPr>
                <w:rStyle w:val="14"/>
                <w:rFonts w:ascii="微软雅黑" w:hAnsi="微软雅黑" w:eastAsia="微软雅黑"/>
                <w:sz w:val="24"/>
              </w:rPr>
            </w:pPr>
            <w:r>
              <w:rPr>
                <w:rStyle w:val="14"/>
                <w:rFonts w:hint="eastAsia" w:ascii="微软雅黑" w:hAnsi="微软雅黑" w:eastAsia="微软雅黑"/>
                <w:sz w:val="24"/>
              </w:rPr>
              <w:t>主题：</w:t>
            </w:r>
          </w:p>
        </w:tc>
        <w:tc>
          <w:tcPr>
            <w:tcW w:w="3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05D606">
            <w:pPr>
              <w:pStyle w:val="15"/>
              <w:ind w:firstLine="210" w:firstLineChars="100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滨海校区监控盲区补盲提升</w:t>
            </w:r>
          </w:p>
        </w:tc>
        <w:tc>
          <w:tcPr>
            <w:tcW w:w="885" w:type="dxa"/>
            <w:vAlign w:val="center"/>
          </w:tcPr>
          <w:p w14:paraId="276AF3FC">
            <w:pPr>
              <w:pStyle w:val="15"/>
              <w:jc w:val="both"/>
              <w:rPr>
                <w:rFonts w:ascii="微软雅黑" w:hAnsi="微软雅黑" w:eastAsia="微软雅黑"/>
                <w:sz w:val="24"/>
              </w:rPr>
            </w:pPr>
            <w:r>
              <w:rPr>
                <w:rStyle w:val="14"/>
                <w:rFonts w:hint="eastAsia" w:ascii="微软雅黑" w:hAnsi="微软雅黑" w:eastAsia="微软雅黑"/>
                <w:sz w:val="24"/>
              </w:rPr>
              <w:t>页数：</w:t>
            </w:r>
          </w:p>
        </w:tc>
        <w:tc>
          <w:tcPr>
            <w:tcW w:w="29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8070E8">
            <w:pPr>
              <w:pStyle w:val="15"/>
              <w:jc w:val="both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</w:tbl>
    <w:tbl>
      <w:tblPr>
        <w:tblStyle w:val="9"/>
        <w:tblpPr w:leftFromText="180" w:rightFromText="180" w:vertAnchor="text" w:horzAnchor="margin" w:tblpXSpec="center" w:tblpY="724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968"/>
        <w:gridCol w:w="4027"/>
        <w:gridCol w:w="765"/>
        <w:gridCol w:w="870"/>
        <w:gridCol w:w="1081"/>
        <w:gridCol w:w="1213"/>
      </w:tblGrid>
      <w:tr w14:paraId="7EDDA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793" w:type="dxa"/>
            <w:vAlign w:val="center"/>
          </w:tcPr>
          <w:p w14:paraId="14D23283">
            <w:pPr>
              <w:pStyle w:val="7"/>
              <w:widowControl w:val="0"/>
              <w:jc w:val="center"/>
              <w:rPr>
                <w:rStyle w:val="11"/>
                <w:b w:val="0"/>
                <w:szCs w:val="18"/>
              </w:rPr>
            </w:pPr>
            <w:r>
              <w:rPr>
                <w:rStyle w:val="11"/>
                <w:rFonts w:hint="eastAsia"/>
                <w:szCs w:val="18"/>
              </w:rPr>
              <w:t>序号</w:t>
            </w:r>
          </w:p>
        </w:tc>
        <w:tc>
          <w:tcPr>
            <w:tcW w:w="968" w:type="dxa"/>
            <w:vAlign w:val="center"/>
          </w:tcPr>
          <w:p w14:paraId="64781985">
            <w:pPr>
              <w:pStyle w:val="7"/>
              <w:widowControl w:val="0"/>
              <w:jc w:val="center"/>
              <w:rPr>
                <w:rStyle w:val="11"/>
                <w:b w:val="0"/>
                <w:szCs w:val="18"/>
              </w:rPr>
            </w:pPr>
            <w:r>
              <w:rPr>
                <w:rStyle w:val="11"/>
                <w:rFonts w:hint="eastAsia"/>
                <w:szCs w:val="18"/>
              </w:rPr>
              <w:t>名称</w:t>
            </w:r>
          </w:p>
        </w:tc>
        <w:tc>
          <w:tcPr>
            <w:tcW w:w="4027" w:type="dxa"/>
            <w:vAlign w:val="center"/>
          </w:tcPr>
          <w:p w14:paraId="5A76B89D">
            <w:pPr>
              <w:pStyle w:val="7"/>
              <w:widowControl w:val="0"/>
              <w:jc w:val="center"/>
              <w:rPr>
                <w:rStyle w:val="11"/>
                <w:b w:val="0"/>
                <w:sz w:val="20"/>
                <w:szCs w:val="20"/>
              </w:rPr>
            </w:pPr>
            <w:r>
              <w:rPr>
                <w:rStyle w:val="11"/>
                <w:rFonts w:hint="eastAsia"/>
              </w:rPr>
              <w:t>型号或规格</w:t>
            </w:r>
          </w:p>
        </w:tc>
        <w:tc>
          <w:tcPr>
            <w:tcW w:w="765" w:type="dxa"/>
            <w:vAlign w:val="center"/>
          </w:tcPr>
          <w:p w14:paraId="00AEC3EB">
            <w:pPr>
              <w:pStyle w:val="7"/>
              <w:widowControl w:val="0"/>
              <w:jc w:val="center"/>
              <w:rPr>
                <w:rStyle w:val="11"/>
                <w:szCs w:val="18"/>
              </w:rPr>
            </w:pPr>
            <w:r>
              <w:rPr>
                <w:rStyle w:val="11"/>
                <w:rFonts w:hint="eastAsia"/>
                <w:szCs w:val="18"/>
              </w:rPr>
              <w:t>单价</w:t>
            </w:r>
          </w:p>
        </w:tc>
        <w:tc>
          <w:tcPr>
            <w:tcW w:w="870" w:type="dxa"/>
            <w:vAlign w:val="center"/>
          </w:tcPr>
          <w:p w14:paraId="1D32427D">
            <w:pPr>
              <w:pStyle w:val="7"/>
              <w:widowControl w:val="0"/>
              <w:jc w:val="center"/>
              <w:rPr>
                <w:rStyle w:val="11"/>
                <w:b w:val="0"/>
                <w:szCs w:val="18"/>
              </w:rPr>
            </w:pPr>
            <w:r>
              <w:rPr>
                <w:rStyle w:val="11"/>
                <w:rFonts w:hint="eastAsia"/>
                <w:szCs w:val="18"/>
              </w:rPr>
              <w:t>数量</w:t>
            </w:r>
          </w:p>
        </w:tc>
        <w:tc>
          <w:tcPr>
            <w:tcW w:w="1081" w:type="dxa"/>
            <w:vAlign w:val="center"/>
          </w:tcPr>
          <w:p w14:paraId="0B44F4A1">
            <w:pPr>
              <w:pStyle w:val="7"/>
              <w:widowControl w:val="0"/>
              <w:jc w:val="center"/>
              <w:rPr>
                <w:rStyle w:val="11"/>
                <w:b w:val="0"/>
                <w:szCs w:val="18"/>
              </w:rPr>
            </w:pPr>
            <w:r>
              <w:rPr>
                <w:rStyle w:val="11"/>
                <w:rFonts w:hint="eastAsia"/>
                <w:szCs w:val="18"/>
              </w:rPr>
              <w:t>金额（元）</w:t>
            </w:r>
          </w:p>
        </w:tc>
        <w:tc>
          <w:tcPr>
            <w:tcW w:w="1213" w:type="dxa"/>
            <w:vAlign w:val="center"/>
          </w:tcPr>
          <w:p w14:paraId="62D3C5EC">
            <w:pPr>
              <w:pStyle w:val="7"/>
              <w:widowControl w:val="0"/>
              <w:jc w:val="center"/>
              <w:rPr>
                <w:rStyle w:val="11"/>
                <w:rFonts w:hint="default" w:eastAsia="宋体"/>
                <w:szCs w:val="18"/>
                <w:lang w:val="en-US" w:eastAsia="zh-CN"/>
              </w:rPr>
            </w:pPr>
            <w:r>
              <w:rPr>
                <w:rStyle w:val="11"/>
                <w:rFonts w:hint="eastAsia"/>
                <w:szCs w:val="18"/>
                <w:lang w:val="en-US" w:eastAsia="zh-CN"/>
              </w:rPr>
              <w:t>所投品牌及型号</w:t>
            </w:r>
          </w:p>
        </w:tc>
      </w:tr>
      <w:tr w14:paraId="5B7CC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3" w:type="dxa"/>
            <w:vAlign w:val="center"/>
          </w:tcPr>
          <w:p w14:paraId="178F3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1"/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68" w:type="dxa"/>
            <w:vAlign w:val="center"/>
          </w:tcPr>
          <w:p w14:paraId="1D22C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z w:val="22"/>
                <w:szCs w:val="22"/>
                <w:lang w:val="en-US" w:eastAsia="zh-CN"/>
              </w:rPr>
              <w:t>摄像机</w:t>
            </w:r>
          </w:p>
        </w:tc>
        <w:tc>
          <w:tcPr>
            <w:tcW w:w="4027" w:type="dxa"/>
            <w:vAlign w:val="center"/>
          </w:tcPr>
          <w:p w14:paraId="26825F60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  <w:t>枪式固定摄像机</w:t>
            </w:r>
          </w:p>
          <w:p w14:paraId="2347412B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  <w:t>含支架、软管安装</w:t>
            </w:r>
          </w:p>
          <w:p w14:paraId="4A20C033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1.≥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  <w:t>400万 1/3" CMOS红外筒型网络摄像机</w:t>
            </w:r>
          </w:p>
          <w:p w14:paraId="7E1D79D2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  <w:t>支持Smart侦测：10项事件检测，1项异常检测</w:t>
            </w:r>
          </w:p>
          <w:p w14:paraId="3B7302FF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  <w:t>2.最低照度: 彩色：0.005 Lux @（F1.2，AGC ON），0 Lux with IR</w:t>
            </w:r>
          </w:p>
          <w:p w14:paraId="26D7125A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  <w:t>3.宽动态: 120 dB</w:t>
            </w:r>
          </w:p>
          <w:p w14:paraId="1BDC454A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  <w:t xml:space="preserve">4.焦距&amp;视场角: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  <w:tab/>
            </w:r>
          </w:p>
          <w:p w14:paraId="3859EAAD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  <w:t>2.8 mm，水平视场角：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  <w:t>95°，垂直视场角：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  <w:t>50°，对角视场角：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  <w:t>110°</w:t>
            </w:r>
          </w:p>
          <w:p w14:paraId="4C292E54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  <w:t>4 mm，水平视场角：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  <w:t>75°，垂直视场角: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  <w:t>40°，对角视场角：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  <w:t>90°</w:t>
            </w:r>
          </w:p>
          <w:p w14:paraId="751BF250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  <w:t>6 mm，水平视场角：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  <w:t>451°，垂直视场角：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  <w:t>25°，对角视场角：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  <w:t>55°</w:t>
            </w:r>
          </w:p>
          <w:p w14:paraId="52C37403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  <w:t>8 mm，水平视场角：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  <w:t>35°，垂直视场角：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  <w:t>20°，对角视场角：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  <w:t>40°</w:t>
            </w:r>
          </w:p>
          <w:p w14:paraId="479ED22B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  <w:t>12 mm，水平视场角：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  <w:t>20°，垂直视场角：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  <w:t>10°，对角视场角：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  <w:t>25°</w:t>
            </w:r>
          </w:p>
          <w:p w14:paraId="38F4D166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  <w:t>5.补光灯类型: 红外灯</w:t>
            </w:r>
          </w:p>
          <w:p w14:paraId="1153F0C4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  <w:t>6.补光距离: 最远可达30 m</w:t>
            </w:r>
          </w:p>
          <w:p w14:paraId="7D5D53C0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  <w:t xml:space="preserve">7.红外波长范围: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  <w:t>850 nm</w:t>
            </w:r>
          </w:p>
          <w:p w14:paraId="2CC841BD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  <w:t>8.防补光过曝: 支持</w:t>
            </w:r>
          </w:p>
          <w:p w14:paraId="05CA1951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  <w:t>最大图像尺寸: 2688 × 1520（默认2560 × 1440）</w:t>
            </w:r>
          </w:p>
          <w:p w14:paraId="14DA20D2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  <w:t>9.视频压缩标准: 主码流：H.265/H.264</w:t>
            </w:r>
          </w:p>
          <w:p w14:paraId="2171610E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  <w:t>10.网络存储: 支持NAS（NFS，SMB/CIFS均支持）</w:t>
            </w:r>
          </w:p>
          <w:p w14:paraId="2FA33DEA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  <w:t>11.音频: 1个内置麦克风</w:t>
            </w:r>
          </w:p>
          <w:p w14:paraId="3CBA9BC4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 w:eastAsia="zh-CN"/>
              </w:rPr>
              <w:t>网络: 1个RJ45 10 M/100 M自适应</w:t>
            </w:r>
          </w:p>
        </w:tc>
        <w:tc>
          <w:tcPr>
            <w:tcW w:w="765" w:type="dxa"/>
            <w:vAlign w:val="center"/>
          </w:tcPr>
          <w:p w14:paraId="2FAEF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745D9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87个</w:t>
            </w:r>
          </w:p>
        </w:tc>
        <w:tc>
          <w:tcPr>
            <w:tcW w:w="1081" w:type="dxa"/>
            <w:vAlign w:val="center"/>
          </w:tcPr>
          <w:p w14:paraId="52EE2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 w14:paraId="47A4E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lang w:val="en-US" w:eastAsia="zh-CN"/>
              </w:rPr>
            </w:pPr>
          </w:p>
        </w:tc>
      </w:tr>
      <w:tr w14:paraId="7360D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 w14:paraId="149BF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1"/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68" w:type="dxa"/>
            <w:vAlign w:val="center"/>
          </w:tcPr>
          <w:p w14:paraId="17EB2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z w:val="22"/>
                <w:szCs w:val="22"/>
                <w:lang w:val="en-US" w:eastAsia="zh-CN"/>
              </w:rPr>
              <w:t>摄像机</w:t>
            </w:r>
          </w:p>
        </w:tc>
        <w:tc>
          <w:tcPr>
            <w:tcW w:w="4027" w:type="dxa"/>
            <w:shd w:val="clear" w:color="auto" w:fill="auto"/>
            <w:vAlign w:val="center"/>
          </w:tcPr>
          <w:p w14:paraId="61A66F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半球摄象机</w:t>
            </w:r>
          </w:p>
          <w:p w14:paraId="7A2C810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1.≥400万 1/1.8"CMOS 全彩筒型网络摄像机</w:t>
            </w:r>
          </w:p>
          <w:p w14:paraId="02BA424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2.全彩级高灵敏度感器，F1.0超大光圈镜头，为智能应用提供更清晰的视频流输入，全面提升智能业务处理的准确度</w:t>
            </w:r>
          </w:p>
          <w:p w14:paraId="1C36DB1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3.Smart侦测：≥10项事件检测，≥3项异常检测</w:t>
            </w:r>
          </w:p>
          <w:p w14:paraId="5366017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4.最低照度: 彩色：0.0005 Lux @（F1.0，AGC ON），0 Lux with Light</w:t>
            </w:r>
          </w:p>
          <w:p w14:paraId="7D41019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5.宽动态: 120 dB</w:t>
            </w:r>
          </w:p>
          <w:p w14:paraId="61BBEA6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6.景深范围: 2.8 mm：2.5 m~∞；4 mm：3.1 m~∞；6 mm：7.2 m~∞；8 mm：8.8 m~∞</w:t>
            </w:r>
          </w:p>
          <w:p w14:paraId="074A8D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 xml:space="preserve">7.焦距&amp;视场角: </w:t>
            </w:r>
          </w:p>
          <w:p w14:paraId="2B73D5A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2.8 mm，水平视场角：≥100°，垂直视场角：≥55°，对角视场角：≥120°</w:t>
            </w:r>
          </w:p>
          <w:p w14:paraId="06C4C08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4 mm，水平视场角：≥85°，垂直视场角：≥40°，对角视场角：≥100°</w:t>
            </w:r>
          </w:p>
          <w:p w14:paraId="625A566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6 mm，水平视场角：≥50°，垂直视场角：≥25°，对角视场角：≥60°</w:t>
            </w:r>
          </w:p>
          <w:p w14:paraId="5845251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8 mm，水平视场角：≥40°，垂直视场角：≥20°，对角视场角：≥45°</w:t>
            </w:r>
          </w:p>
          <w:p w14:paraId="4441300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8.补光距离: 最远可达30 m</w:t>
            </w:r>
          </w:p>
          <w:p w14:paraId="29D8B2F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9.防补光过曝: 支持</w:t>
            </w:r>
          </w:p>
          <w:p w14:paraId="67BFBC9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10.补光灯类型: 柔光灯</w:t>
            </w:r>
          </w:p>
          <w:p w14:paraId="278DC74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11.音频：带拾音功能</w:t>
            </w:r>
          </w:p>
          <w:p w14:paraId="2333534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12.最大图像尺寸: 2560 × 1440</w:t>
            </w:r>
          </w:p>
          <w:p w14:paraId="52C4440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13.视频压缩标准: 主码流：H.265/H.264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A276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65349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29个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16C5B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lang w:val="en-US" w:eastAsia="zh-CN" w:bidi="ar-SA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00B1B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lang w:val="en-US" w:eastAsia="zh-CN"/>
              </w:rPr>
            </w:pPr>
          </w:p>
        </w:tc>
      </w:tr>
      <w:tr w14:paraId="405E4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 w14:paraId="40600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1"/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68" w:type="dxa"/>
            <w:vAlign w:val="center"/>
          </w:tcPr>
          <w:p w14:paraId="10DCA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交换机</w:t>
            </w:r>
          </w:p>
        </w:tc>
        <w:tc>
          <w:tcPr>
            <w:tcW w:w="4027" w:type="dxa"/>
            <w:vAlign w:val="center"/>
          </w:tcPr>
          <w:p w14:paraId="64AE460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18口POE交换机</w:t>
            </w:r>
          </w:p>
          <w:p w14:paraId="351B5F5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1.交换容量≥432Gbps</w:t>
            </w:r>
          </w:p>
          <w:p w14:paraId="6066128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2.包转发率≥156Mpps</w:t>
            </w:r>
          </w:p>
          <w:p w14:paraId="2FA58F6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3.支持16个百兆电口， 2个千兆光口</w:t>
            </w:r>
          </w:p>
          <w:p w14:paraId="7C578FC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4.16个电口支持802.3af/at标准协议的PoE/PoE+供电</w:t>
            </w:r>
          </w:p>
          <w:p w14:paraId="05BA944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5.★为了满足环境小尺寸要求，设备需支持深度&lt;=208mm。</w:t>
            </w:r>
          </w:p>
          <w:p w14:paraId="2D5E8FE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6.▲设备支持工作环境温度-10 ℃~ +50 ℃。</w:t>
            </w:r>
          </w:p>
          <w:p w14:paraId="6BC6940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7.支持4K个VLAN，支持Voice VLAN，基于端口的VLAN，基于MAC的VLAN，基于协议的VLAN</w:t>
            </w:r>
          </w:p>
          <w:p w14:paraId="41ACD0B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8.支持4K个VLAN，支持Voice VLAN，基于端口的VLAN，基于MAC的VLAN，基于协议的VLAN</w:t>
            </w:r>
          </w:p>
          <w:p w14:paraId="0797ACF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9.支持MAC地址≥16K</w:t>
            </w:r>
          </w:p>
          <w:p w14:paraId="055D6DC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 xml:space="preserve">10.支持端口聚合，每个聚合组至少8个端口   </w:t>
            </w:r>
          </w:p>
          <w:p w14:paraId="5727A42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 xml:space="preserve">11.▲支持静态路由、策略路由、RIP、RIPng、OSPF、OSPFv3路由协议                                </w:t>
            </w:r>
          </w:p>
          <w:p w14:paraId="65C27EB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12.支持IPv6特性，包括IPv6静态路由、IPv6策略路由、RIPng、OSPFv3、ND、IPv6 Ping、IPv6 Tracert、IPv6 Telnet</w:t>
            </w:r>
          </w:p>
          <w:p w14:paraId="09099C0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13.支持IGMPv1/v2/v3 snooping，MLD Snooping，PIM Snooping</w:t>
            </w:r>
          </w:p>
        </w:tc>
        <w:tc>
          <w:tcPr>
            <w:tcW w:w="765" w:type="dxa"/>
            <w:vAlign w:val="center"/>
          </w:tcPr>
          <w:p w14:paraId="21C23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2EC84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2个</w:t>
            </w:r>
          </w:p>
        </w:tc>
        <w:tc>
          <w:tcPr>
            <w:tcW w:w="1081" w:type="dxa"/>
            <w:vAlign w:val="center"/>
          </w:tcPr>
          <w:p w14:paraId="75645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 w14:paraId="696D2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</w:tr>
      <w:tr w14:paraId="77D41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793" w:type="dxa"/>
            <w:vAlign w:val="center"/>
          </w:tcPr>
          <w:p w14:paraId="6F470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68" w:type="dxa"/>
            <w:vAlign w:val="center"/>
          </w:tcPr>
          <w:p w14:paraId="400B1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交换机</w:t>
            </w:r>
          </w:p>
        </w:tc>
        <w:tc>
          <w:tcPr>
            <w:tcW w:w="4027" w:type="dxa"/>
            <w:vAlign w:val="center"/>
          </w:tcPr>
          <w:p w14:paraId="0329FC79">
            <w:pPr>
              <w:bidi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支持8个百兆PoE电口，2个百兆电口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支持红口保障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支持PoE输出功率管理功能特性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端口规格：8个百兆PoE电口，2个百兆电口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交换方式：存储转发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性能参数交换容量：2 Gbps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包转发率：1.49 Mpps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工作温度：0 °C~40 °C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8.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工作湿度：10%?90% RH不凝结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9.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存储温度：–40 °C～70 °C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存储湿度：5%～95% RH不凝结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11.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供电方式：AC 220V，50Hz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12.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风扇：无风扇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13.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整机功耗：≤ 70 W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浪涌防护：网口2 kV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15.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供电线芯：8芯供电（1 2 4 5 正，3 6 7 8 负）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16.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PoE端口：端口1~8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17.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整机供电功率：65 W</w:t>
            </w:r>
          </w:p>
        </w:tc>
        <w:tc>
          <w:tcPr>
            <w:tcW w:w="765" w:type="dxa"/>
            <w:vAlign w:val="center"/>
          </w:tcPr>
          <w:p w14:paraId="22128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6982F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10个</w:t>
            </w:r>
          </w:p>
        </w:tc>
        <w:tc>
          <w:tcPr>
            <w:tcW w:w="1081" w:type="dxa"/>
            <w:vAlign w:val="center"/>
          </w:tcPr>
          <w:p w14:paraId="246D0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 w14:paraId="03250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</w:tr>
      <w:tr w14:paraId="59DB2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793" w:type="dxa"/>
            <w:vAlign w:val="center"/>
          </w:tcPr>
          <w:p w14:paraId="28BD5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68" w:type="dxa"/>
            <w:vAlign w:val="center"/>
          </w:tcPr>
          <w:p w14:paraId="3F397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4027" w:type="dxa"/>
            <w:vAlign w:val="center"/>
          </w:tcPr>
          <w:p w14:paraId="360891CD">
            <w:pPr>
              <w:numPr>
                <w:ilvl w:val="0"/>
                <w:numId w:val="0"/>
              </w:numPr>
              <w:bidi w:val="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T硬盘</w:t>
            </w:r>
          </w:p>
          <w:p w14:paraId="65A371EE">
            <w:pPr>
              <w:numPr>
                <w:ilvl w:val="0"/>
                <w:numId w:val="0"/>
              </w:numPr>
              <w:bidi w:val="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.规格:</w:t>
            </w:r>
          </w:p>
          <w:p w14:paraId="6951C970">
            <w:pPr>
              <w:bidi w:val="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单盘容量：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TB；</w:t>
            </w:r>
          </w:p>
          <w:p w14:paraId="2D918027">
            <w:pPr>
              <w:bidi w:val="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硬盘接口：SATA；</w:t>
            </w:r>
          </w:p>
          <w:p w14:paraId="4FAFFEB1">
            <w:pPr>
              <w:bidi w:val="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转速：7200RPM；</w:t>
            </w:r>
          </w:p>
          <w:p w14:paraId="3B35E394">
            <w:pPr>
              <w:bidi w:val="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缓存：256MB</w:t>
            </w:r>
          </w:p>
          <w:p w14:paraId="0131DA2B">
            <w:pPr>
              <w:bidi w:val="0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2.根据存储服务器盘位配置</w:t>
            </w:r>
          </w:p>
        </w:tc>
        <w:tc>
          <w:tcPr>
            <w:tcW w:w="765" w:type="dxa"/>
            <w:vAlign w:val="center"/>
          </w:tcPr>
          <w:p w14:paraId="25DA6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1B2C7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10个</w:t>
            </w:r>
          </w:p>
        </w:tc>
        <w:tc>
          <w:tcPr>
            <w:tcW w:w="1081" w:type="dxa"/>
            <w:vAlign w:val="center"/>
          </w:tcPr>
          <w:p w14:paraId="01D94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 w14:paraId="08BA6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  <w:p w14:paraId="5C95F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</w:tr>
      <w:tr w14:paraId="65F8B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793" w:type="dxa"/>
            <w:vAlign w:val="center"/>
          </w:tcPr>
          <w:p w14:paraId="0B326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68" w:type="dxa"/>
            <w:vAlign w:val="center"/>
          </w:tcPr>
          <w:p w14:paraId="133AE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机柜</w:t>
            </w:r>
          </w:p>
        </w:tc>
        <w:tc>
          <w:tcPr>
            <w:tcW w:w="4027" w:type="dxa"/>
            <w:shd w:val="clear" w:color="auto" w:fill="FFFFFF"/>
            <w:vAlign w:val="center"/>
          </w:tcPr>
          <w:p w14:paraId="53639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墙柜（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300*400*180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765" w:type="dxa"/>
            <w:vAlign w:val="center"/>
          </w:tcPr>
          <w:p w14:paraId="6B290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124B5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4个</w:t>
            </w:r>
          </w:p>
        </w:tc>
        <w:tc>
          <w:tcPr>
            <w:tcW w:w="1081" w:type="dxa"/>
            <w:vAlign w:val="center"/>
          </w:tcPr>
          <w:p w14:paraId="360F7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 w14:paraId="72F7C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</w:tr>
      <w:tr w14:paraId="25F42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793" w:type="dxa"/>
            <w:vAlign w:val="center"/>
          </w:tcPr>
          <w:p w14:paraId="68357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68" w:type="dxa"/>
            <w:shd w:val="clear" w:color="auto" w:fill="FFFFFF"/>
            <w:vAlign w:val="center"/>
          </w:tcPr>
          <w:p w14:paraId="6147F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配管</w:t>
            </w:r>
          </w:p>
        </w:tc>
        <w:tc>
          <w:tcPr>
            <w:tcW w:w="4027" w:type="dxa"/>
            <w:shd w:val="clear" w:color="auto" w:fill="FFFFFF"/>
            <w:vAlign w:val="center"/>
          </w:tcPr>
          <w:p w14:paraId="3191D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砖、混凝土结构明配PVC管 公称直径（mm）20</w:t>
            </w:r>
          </w:p>
        </w:tc>
        <w:tc>
          <w:tcPr>
            <w:tcW w:w="765" w:type="dxa"/>
            <w:vAlign w:val="center"/>
          </w:tcPr>
          <w:p w14:paraId="12240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731A6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1200个</w:t>
            </w:r>
          </w:p>
        </w:tc>
        <w:tc>
          <w:tcPr>
            <w:tcW w:w="1081" w:type="dxa"/>
            <w:vAlign w:val="center"/>
          </w:tcPr>
          <w:p w14:paraId="5D596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 w14:paraId="6095B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</w:tr>
      <w:tr w14:paraId="43AF6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793" w:type="dxa"/>
            <w:vAlign w:val="center"/>
          </w:tcPr>
          <w:p w14:paraId="6CA4D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68" w:type="dxa"/>
            <w:shd w:val="clear" w:color="auto" w:fill="FFFFFF"/>
            <w:vAlign w:val="center"/>
          </w:tcPr>
          <w:p w14:paraId="59183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双绞线缆</w:t>
            </w:r>
          </w:p>
        </w:tc>
        <w:tc>
          <w:tcPr>
            <w:tcW w:w="4027" w:type="dxa"/>
            <w:shd w:val="clear" w:color="auto" w:fill="FFFFFF"/>
            <w:vAlign w:val="center"/>
          </w:tcPr>
          <w:p w14:paraId="118BA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HSYV5E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超五类网线  4*0.2*0.5mm</w:t>
            </w:r>
          </w:p>
        </w:tc>
        <w:tc>
          <w:tcPr>
            <w:tcW w:w="765" w:type="dxa"/>
            <w:vAlign w:val="center"/>
          </w:tcPr>
          <w:p w14:paraId="22B2B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1BA25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10500个</w:t>
            </w:r>
          </w:p>
        </w:tc>
        <w:tc>
          <w:tcPr>
            <w:tcW w:w="1081" w:type="dxa"/>
            <w:vAlign w:val="center"/>
          </w:tcPr>
          <w:p w14:paraId="4729B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 w14:paraId="05FE5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</w:tr>
      <w:tr w14:paraId="64FB2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793" w:type="dxa"/>
            <w:vAlign w:val="center"/>
          </w:tcPr>
          <w:p w14:paraId="0E960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68" w:type="dxa"/>
            <w:shd w:val="clear" w:color="auto" w:fill="FFFFFF"/>
            <w:vAlign w:val="center"/>
          </w:tcPr>
          <w:p w14:paraId="64F16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4027" w:type="dxa"/>
            <w:shd w:val="clear" w:color="auto" w:fill="FFFFFF"/>
            <w:vAlign w:val="center"/>
          </w:tcPr>
          <w:p w14:paraId="37D51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≤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1000M/20KM</w:t>
            </w:r>
          </w:p>
          <w:p w14:paraId="76C6B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 T*1310/R*1550</w:t>
            </w:r>
          </w:p>
        </w:tc>
        <w:tc>
          <w:tcPr>
            <w:tcW w:w="765" w:type="dxa"/>
            <w:vAlign w:val="center"/>
          </w:tcPr>
          <w:p w14:paraId="7CD3C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5F117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6个</w:t>
            </w:r>
          </w:p>
        </w:tc>
        <w:tc>
          <w:tcPr>
            <w:tcW w:w="1081" w:type="dxa"/>
            <w:vAlign w:val="center"/>
          </w:tcPr>
          <w:p w14:paraId="37267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 w14:paraId="34CF2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</w:tr>
      <w:tr w14:paraId="52C2D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793" w:type="dxa"/>
            <w:vAlign w:val="center"/>
          </w:tcPr>
          <w:p w14:paraId="54236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68" w:type="dxa"/>
            <w:shd w:val="clear" w:color="auto" w:fill="FFFFFF"/>
            <w:vAlign w:val="center"/>
          </w:tcPr>
          <w:p w14:paraId="4E250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光缆</w:t>
            </w:r>
          </w:p>
        </w:tc>
        <w:tc>
          <w:tcPr>
            <w:tcW w:w="4027" w:type="dxa"/>
            <w:shd w:val="clear" w:color="auto" w:fill="FFFFFF"/>
            <w:vAlign w:val="center"/>
          </w:tcPr>
          <w:p w14:paraId="6D04D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芯室外单模光纤</w:t>
            </w:r>
          </w:p>
          <w:p w14:paraId="5F80B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1.融纤</w:t>
            </w:r>
          </w:p>
          <w:p w14:paraId="7B749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2.光纤盘及尾纤</w:t>
            </w:r>
          </w:p>
        </w:tc>
        <w:tc>
          <w:tcPr>
            <w:tcW w:w="765" w:type="dxa"/>
            <w:vAlign w:val="center"/>
          </w:tcPr>
          <w:p w14:paraId="44AA9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20CA7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300条</w:t>
            </w:r>
          </w:p>
        </w:tc>
        <w:tc>
          <w:tcPr>
            <w:tcW w:w="1081" w:type="dxa"/>
            <w:vAlign w:val="center"/>
          </w:tcPr>
          <w:p w14:paraId="2AE97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 w14:paraId="28947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</w:tr>
      <w:tr w14:paraId="1E0E9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793" w:type="dxa"/>
            <w:vAlign w:val="center"/>
          </w:tcPr>
          <w:p w14:paraId="1CD63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68" w:type="dxa"/>
            <w:shd w:val="clear" w:color="auto" w:fill="FFFFFF"/>
            <w:vAlign w:val="center"/>
          </w:tcPr>
          <w:p w14:paraId="1342D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综合布线</w:t>
            </w:r>
          </w:p>
        </w:tc>
        <w:tc>
          <w:tcPr>
            <w:tcW w:w="4027" w:type="dxa"/>
            <w:shd w:val="clear" w:color="auto" w:fill="FFFFFF"/>
            <w:vAlign w:val="center"/>
          </w:tcPr>
          <w:p w14:paraId="533BA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综合布线方式：</w:t>
            </w:r>
          </w:p>
          <w:p w14:paraId="49498A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弱电井至监控点位无线路裸露</w:t>
            </w:r>
          </w:p>
          <w:p w14:paraId="7322B20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线路以桥架为主，无桥架采取穿PVC管固定</w:t>
            </w:r>
          </w:p>
        </w:tc>
        <w:tc>
          <w:tcPr>
            <w:tcW w:w="765" w:type="dxa"/>
            <w:vAlign w:val="center"/>
          </w:tcPr>
          <w:p w14:paraId="246D8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506C5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116条</w:t>
            </w:r>
          </w:p>
        </w:tc>
        <w:tc>
          <w:tcPr>
            <w:tcW w:w="1081" w:type="dxa"/>
            <w:vAlign w:val="center"/>
          </w:tcPr>
          <w:p w14:paraId="0BB00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 w14:paraId="26147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</w:tr>
      <w:tr w14:paraId="4349B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793" w:type="dxa"/>
            <w:vAlign w:val="center"/>
          </w:tcPr>
          <w:p w14:paraId="1A7C5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12</w:t>
            </w:r>
            <w:bookmarkStart w:id="0" w:name="_GoBack"/>
            <w:bookmarkEnd w:id="0"/>
          </w:p>
        </w:tc>
        <w:tc>
          <w:tcPr>
            <w:tcW w:w="968" w:type="dxa"/>
            <w:shd w:val="clear" w:color="auto" w:fill="FFFFFF"/>
            <w:vAlign w:val="center"/>
          </w:tcPr>
          <w:p w14:paraId="470A4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/>
              </w:rPr>
              <w:t>机房综合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调试</w:t>
            </w:r>
          </w:p>
        </w:tc>
        <w:tc>
          <w:tcPr>
            <w:tcW w:w="4027" w:type="dxa"/>
            <w:shd w:val="clear" w:color="auto" w:fill="FFFFFF"/>
            <w:vAlign w:val="center"/>
          </w:tcPr>
          <w:p w14:paraId="63C87AC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机房调试</w:t>
            </w:r>
          </w:p>
          <w:p w14:paraId="288ED5C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IP规划核心交换机开通</w:t>
            </w:r>
          </w:p>
          <w:p w14:paraId="08BB212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服务器平台添加</w:t>
            </w:r>
          </w:p>
        </w:tc>
        <w:tc>
          <w:tcPr>
            <w:tcW w:w="765" w:type="dxa"/>
            <w:vAlign w:val="center"/>
          </w:tcPr>
          <w:p w14:paraId="719F5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1D66B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1项</w:t>
            </w:r>
          </w:p>
        </w:tc>
        <w:tc>
          <w:tcPr>
            <w:tcW w:w="1081" w:type="dxa"/>
            <w:vAlign w:val="center"/>
          </w:tcPr>
          <w:p w14:paraId="29FC9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 w14:paraId="0CFA8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</w:tr>
      <w:tr w14:paraId="22F65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 w14:paraId="04F3E81D">
            <w:pPr>
              <w:pStyle w:val="7"/>
              <w:widowControl w:val="0"/>
              <w:rPr>
                <w:rStyle w:val="11"/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1"/>
                <w:rFonts w:hint="eastAsia" w:ascii="宋体" w:hAnsi="宋体" w:eastAsia="宋体" w:cs="宋体"/>
                <w:sz w:val="20"/>
                <w:szCs w:val="20"/>
              </w:rPr>
              <w:t>合计</w:t>
            </w:r>
          </w:p>
        </w:tc>
        <w:tc>
          <w:tcPr>
            <w:tcW w:w="6630" w:type="dxa"/>
            <w:gridSpan w:val="4"/>
            <w:vAlign w:val="center"/>
          </w:tcPr>
          <w:p w14:paraId="51AC8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人民币大写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：</w:t>
            </w:r>
          </w:p>
        </w:tc>
        <w:tc>
          <w:tcPr>
            <w:tcW w:w="1081" w:type="dxa"/>
            <w:vAlign w:val="center"/>
          </w:tcPr>
          <w:p w14:paraId="670AC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 w14:paraId="1809E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lang w:val="en-US" w:eastAsia="zh-CN"/>
              </w:rPr>
            </w:pPr>
          </w:p>
        </w:tc>
      </w:tr>
    </w:tbl>
    <w:p w14:paraId="00611267">
      <w:pPr>
        <w:pStyle w:val="7"/>
        <w:spacing w:before="0" w:beforeAutospacing="0" w:after="0" w:afterAutospacing="0"/>
      </w:pPr>
    </w:p>
    <w:p w14:paraId="742F42F8">
      <w:pPr>
        <w:pStyle w:val="7"/>
        <w:spacing w:before="0" w:beforeAutospacing="0" w:after="0" w:afterAutospacing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备注：以上报价含税费、运费</w:t>
      </w:r>
    </w:p>
    <w:p w14:paraId="44764589">
      <w:pPr>
        <w:pStyle w:val="7"/>
        <w:spacing w:before="0" w:beforeAutospacing="0" w:after="0" w:afterAutospacing="0"/>
      </w:pPr>
    </w:p>
    <w:p w14:paraId="75C430A0">
      <w:pPr>
        <w:pStyle w:val="7"/>
        <w:spacing w:before="0" w:beforeAutospacing="0" w:after="0" w:afterAutospacing="0"/>
      </w:pPr>
    </w:p>
    <w:p w14:paraId="6E4D0489">
      <w:pPr>
        <w:pStyle w:val="7"/>
        <w:spacing w:before="0" w:beforeAutospacing="0" w:after="0" w:afterAutospacing="0"/>
        <w:rPr>
          <w:rFonts w:hint="eastAsia" w:eastAsia="宋体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/>
        </w:rPr>
        <w:t>报价单位（盖章</w:t>
      </w:r>
      <w:r>
        <w:rPr>
          <w:rFonts w:hint="eastAsia"/>
          <w:lang w:val="en-US" w:eastAsia="zh-CN"/>
        </w:rPr>
        <w:t>)</w:t>
      </w:r>
    </w:p>
    <w:p w14:paraId="528FE92C">
      <w:pPr>
        <w:pStyle w:val="7"/>
        <w:spacing w:before="0" w:beforeAutospacing="0" w:after="0" w:afterAutospacing="0"/>
        <w:ind w:firstLine="357"/>
      </w:pPr>
      <w:r>
        <w:rPr>
          <w:rFonts w:hint="eastAsia"/>
        </w:rPr>
        <w:t>密封报价封条</w:t>
      </w:r>
      <w:r>
        <w:rPr>
          <w:rFonts w:hint="eastAsia"/>
          <w:lang w:val="en-US" w:eastAsia="zh-CN"/>
        </w:rPr>
        <w:t>模</w:t>
      </w:r>
      <w:r>
        <w:rPr>
          <w:rFonts w:hint="eastAsia"/>
        </w:rPr>
        <w:t>版如下：</w:t>
      </w:r>
    </w:p>
    <w:p w14:paraId="32C0A2E8">
      <w:pPr>
        <w:pStyle w:val="7"/>
        <w:spacing w:before="0" w:beforeAutospacing="0" w:after="0" w:afterAutospacing="0"/>
        <w:ind w:firstLine="357"/>
      </w:pPr>
    </w:p>
    <w:tbl>
      <w:tblPr>
        <w:tblStyle w:val="26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 w14:paraId="7B39E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</w:tcPr>
          <w:p w14:paraId="231FBFB3">
            <w:pPr>
              <w:spacing w:after="160" w:line="259" w:lineRule="auto"/>
              <w:ind w:firstLine="721" w:firstLineChars="100"/>
              <w:rPr>
                <w:rFonts w:ascii="华文楷体" w:hAnsi="华文楷体" w:eastAsia="华文楷体" w:cs="宋体"/>
                <w:b/>
                <w:bCs/>
                <w:sz w:val="72"/>
                <w:szCs w:val="72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72"/>
                <w:szCs w:val="72"/>
              </w:rPr>
              <w:t xml:space="preserve">封条 </w:t>
            </w:r>
            <w:r>
              <w:rPr>
                <w:rFonts w:ascii="华文楷体" w:hAnsi="华文楷体" w:eastAsia="华文楷体" w:cs="宋体"/>
                <w:b/>
                <w:bCs/>
                <w:sz w:val="72"/>
                <w:szCs w:val="72"/>
              </w:rPr>
              <w:t xml:space="preserve">  </w:t>
            </w:r>
            <w:r>
              <w:rPr>
                <w:rFonts w:hint="eastAsia" w:ascii="华文楷体" w:hAnsi="华文楷体" w:eastAsia="华文楷体" w:cs="宋体"/>
                <w:b/>
                <w:bCs/>
                <w:sz w:val="72"/>
                <w:szCs w:val="72"/>
              </w:rPr>
              <w:t xml:space="preserve">封条 </w:t>
            </w:r>
            <w:r>
              <w:rPr>
                <w:rFonts w:ascii="华文楷体" w:hAnsi="华文楷体" w:eastAsia="华文楷体" w:cs="宋体"/>
                <w:b/>
                <w:bCs/>
                <w:sz w:val="72"/>
                <w:szCs w:val="72"/>
              </w:rPr>
              <w:t xml:space="preserve">  </w:t>
            </w:r>
            <w:r>
              <w:rPr>
                <w:rFonts w:hint="eastAsia" w:ascii="华文楷体" w:hAnsi="华文楷体" w:eastAsia="华文楷体" w:cs="宋体"/>
                <w:b/>
                <w:bCs/>
                <w:sz w:val="72"/>
                <w:szCs w:val="72"/>
              </w:rPr>
              <w:t>封条</w:t>
            </w:r>
          </w:p>
          <w:p w14:paraId="1CC446DC">
            <w:pPr>
              <w:spacing w:after="160" w:line="259" w:lineRule="auto"/>
              <w:rPr>
                <w:rFonts w:ascii="华文楷体" w:hAnsi="华文楷体" w:eastAsia="华文楷体" w:cs="宋体"/>
                <w:b/>
                <w:bCs/>
                <w:sz w:val="21"/>
                <w:szCs w:val="24"/>
              </w:rPr>
            </w:pPr>
          </w:p>
        </w:tc>
      </w:tr>
      <w:tr w14:paraId="5D8F7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</w:tcPr>
          <w:p w14:paraId="5A710850">
            <w:pPr>
              <w:spacing w:after="160" w:line="259" w:lineRule="auto"/>
              <w:ind w:firstLine="357"/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  <w:t>项目名称：滨海校区监控盲区补盲提升</w:t>
            </w:r>
          </w:p>
          <w:p w14:paraId="149D1BD5">
            <w:pPr>
              <w:spacing w:after="160" w:line="259" w:lineRule="auto"/>
              <w:ind w:firstLine="357"/>
              <w:rPr>
                <w:rFonts w:ascii="华文楷体" w:hAnsi="华文楷体" w:eastAsia="华文楷体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  <w:t>报价人：</w:t>
            </w:r>
            <w:r>
              <w:rPr>
                <w:rFonts w:ascii="华文楷体" w:hAnsi="华文楷体" w:eastAsia="华文楷体"/>
                <w:b/>
                <w:bCs/>
                <w:sz w:val="28"/>
                <w:szCs w:val="28"/>
              </w:rPr>
              <w:t xml:space="preserve"> </w:t>
            </w:r>
          </w:p>
          <w:p w14:paraId="6F662EC1">
            <w:pPr>
              <w:spacing w:after="160" w:line="259" w:lineRule="auto"/>
              <w:ind w:firstLine="357"/>
              <w:rPr>
                <w:rFonts w:ascii="华文楷体" w:hAnsi="华文楷体" w:eastAsia="华文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  <w:t>地 址：</w:t>
            </w:r>
            <w:r>
              <w:rPr>
                <w:rFonts w:ascii="华文楷体" w:hAnsi="华文楷体" w:eastAsia="华文楷体" w:cs="宋体"/>
                <w:b/>
                <w:bCs/>
                <w:sz w:val="28"/>
                <w:szCs w:val="28"/>
              </w:rPr>
              <w:t xml:space="preserve"> </w:t>
            </w:r>
          </w:p>
          <w:p w14:paraId="531FD49B">
            <w:pPr>
              <w:spacing w:after="160" w:line="259" w:lineRule="auto"/>
              <w:ind w:firstLine="357"/>
              <w:rPr>
                <w:rFonts w:ascii="华文楷体" w:hAnsi="华文楷体" w:eastAsia="华文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  <w:t>联系人：</w:t>
            </w:r>
            <w:r>
              <w:rPr>
                <w:rFonts w:ascii="华文楷体" w:hAnsi="华文楷体" w:eastAsia="华文楷体" w:cs="宋体"/>
                <w:b/>
                <w:bCs/>
                <w:sz w:val="28"/>
                <w:szCs w:val="28"/>
              </w:rPr>
              <w:t xml:space="preserve"> </w:t>
            </w:r>
          </w:p>
          <w:p w14:paraId="5F409C92">
            <w:pPr>
              <w:spacing w:after="160" w:line="259" w:lineRule="auto"/>
              <w:ind w:firstLine="357"/>
              <w:rPr>
                <w:rFonts w:ascii="华文楷体" w:hAnsi="华文楷体" w:eastAsia="华文楷体" w:cs="宋体"/>
                <w:b/>
                <w:bCs/>
                <w:sz w:val="21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  <w:t>电  话：</w:t>
            </w:r>
          </w:p>
        </w:tc>
      </w:tr>
    </w:tbl>
    <w:p w14:paraId="02F62FA8">
      <w:pPr>
        <w:pStyle w:val="7"/>
        <w:spacing w:before="0" w:beforeAutospacing="0" w:after="0" w:afterAutospacing="0"/>
        <w:ind w:firstLine="357"/>
      </w:pPr>
    </w:p>
    <w:p w14:paraId="4299D51B">
      <w:pPr>
        <w:pStyle w:val="7"/>
        <w:spacing w:before="0" w:beforeAutospacing="0" w:after="0" w:afterAutospacing="0"/>
        <w:ind w:firstLine="357"/>
      </w:pPr>
    </w:p>
    <w:p w14:paraId="33820270">
      <w:pPr>
        <w:pStyle w:val="7"/>
        <w:spacing w:before="0" w:beforeAutospacing="0" w:after="0" w:afterAutospacing="0"/>
        <w:rPr>
          <w:rFonts w:hint="default" w:eastAsia="宋体"/>
          <w:lang w:val="en-US" w:eastAsia="zh-CN"/>
        </w:rPr>
      </w:pPr>
      <w:r>
        <w:drawing>
          <wp:inline distT="0" distB="0" distL="0" distR="0">
            <wp:extent cx="5502910" cy="4121150"/>
            <wp:effectExtent l="0" t="0" r="2540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6370" cy="412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2156D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8E3462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8E3462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87BCE8"/>
    <w:multiLevelType w:val="singleLevel"/>
    <w:tmpl w:val="C887BC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12059CD"/>
    <w:multiLevelType w:val="singleLevel"/>
    <w:tmpl w:val="212059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1E3"/>
    <w:rsid w:val="00015430"/>
    <w:rsid w:val="0001672D"/>
    <w:rsid w:val="00080874"/>
    <w:rsid w:val="000A440B"/>
    <w:rsid w:val="000A5BCC"/>
    <w:rsid w:val="000B05CB"/>
    <w:rsid w:val="000B0F1B"/>
    <w:rsid w:val="000B2E55"/>
    <w:rsid w:val="000D0B42"/>
    <w:rsid w:val="000F7419"/>
    <w:rsid w:val="00122618"/>
    <w:rsid w:val="00125413"/>
    <w:rsid w:val="00146183"/>
    <w:rsid w:val="00172A27"/>
    <w:rsid w:val="0017790B"/>
    <w:rsid w:val="00194CC4"/>
    <w:rsid w:val="001C173E"/>
    <w:rsid w:val="001C6A07"/>
    <w:rsid w:val="00240397"/>
    <w:rsid w:val="0024414B"/>
    <w:rsid w:val="002667C1"/>
    <w:rsid w:val="002976F4"/>
    <w:rsid w:val="002A0336"/>
    <w:rsid w:val="002B0206"/>
    <w:rsid w:val="002C3838"/>
    <w:rsid w:val="002D0EFB"/>
    <w:rsid w:val="002D0F2E"/>
    <w:rsid w:val="002F3107"/>
    <w:rsid w:val="002F5388"/>
    <w:rsid w:val="003228FF"/>
    <w:rsid w:val="003379A4"/>
    <w:rsid w:val="0034297F"/>
    <w:rsid w:val="00342D8C"/>
    <w:rsid w:val="00360A52"/>
    <w:rsid w:val="003639D4"/>
    <w:rsid w:val="003D5FD0"/>
    <w:rsid w:val="003E03F1"/>
    <w:rsid w:val="003E143B"/>
    <w:rsid w:val="003E3067"/>
    <w:rsid w:val="0045592F"/>
    <w:rsid w:val="00462D9C"/>
    <w:rsid w:val="00465A7C"/>
    <w:rsid w:val="004953B2"/>
    <w:rsid w:val="004B55AB"/>
    <w:rsid w:val="004C0249"/>
    <w:rsid w:val="004C1D27"/>
    <w:rsid w:val="00523C64"/>
    <w:rsid w:val="00545FE6"/>
    <w:rsid w:val="005506EC"/>
    <w:rsid w:val="00553D5D"/>
    <w:rsid w:val="00567179"/>
    <w:rsid w:val="00567582"/>
    <w:rsid w:val="005939A0"/>
    <w:rsid w:val="00595541"/>
    <w:rsid w:val="005C7558"/>
    <w:rsid w:val="005E77D7"/>
    <w:rsid w:val="0060085D"/>
    <w:rsid w:val="00614DC1"/>
    <w:rsid w:val="00630949"/>
    <w:rsid w:val="006578B6"/>
    <w:rsid w:val="0067639E"/>
    <w:rsid w:val="006A4CB7"/>
    <w:rsid w:val="006B40DF"/>
    <w:rsid w:val="006B586D"/>
    <w:rsid w:val="006D5FF8"/>
    <w:rsid w:val="00741365"/>
    <w:rsid w:val="00743074"/>
    <w:rsid w:val="00765BC2"/>
    <w:rsid w:val="0078049B"/>
    <w:rsid w:val="007815FC"/>
    <w:rsid w:val="007A43AE"/>
    <w:rsid w:val="007B2CA5"/>
    <w:rsid w:val="007E56BA"/>
    <w:rsid w:val="007E68A2"/>
    <w:rsid w:val="007F1BE2"/>
    <w:rsid w:val="00800E3A"/>
    <w:rsid w:val="00802B54"/>
    <w:rsid w:val="00824F81"/>
    <w:rsid w:val="00831423"/>
    <w:rsid w:val="00832729"/>
    <w:rsid w:val="008352D1"/>
    <w:rsid w:val="00841A8A"/>
    <w:rsid w:val="0088148A"/>
    <w:rsid w:val="00884D13"/>
    <w:rsid w:val="00896BB4"/>
    <w:rsid w:val="008A0E28"/>
    <w:rsid w:val="008D3EAB"/>
    <w:rsid w:val="00907FA3"/>
    <w:rsid w:val="009346FD"/>
    <w:rsid w:val="00934907"/>
    <w:rsid w:val="00936A33"/>
    <w:rsid w:val="00970B35"/>
    <w:rsid w:val="00976B04"/>
    <w:rsid w:val="009D21A0"/>
    <w:rsid w:val="009D71E8"/>
    <w:rsid w:val="00A157C7"/>
    <w:rsid w:val="00A2494E"/>
    <w:rsid w:val="00A831CC"/>
    <w:rsid w:val="00A85994"/>
    <w:rsid w:val="00AE771B"/>
    <w:rsid w:val="00B10BA4"/>
    <w:rsid w:val="00B12579"/>
    <w:rsid w:val="00B1264D"/>
    <w:rsid w:val="00B24011"/>
    <w:rsid w:val="00B321D3"/>
    <w:rsid w:val="00B41DB0"/>
    <w:rsid w:val="00B422FB"/>
    <w:rsid w:val="00B47372"/>
    <w:rsid w:val="00B66C49"/>
    <w:rsid w:val="00BA2F12"/>
    <w:rsid w:val="00BA3016"/>
    <w:rsid w:val="00BB2955"/>
    <w:rsid w:val="00BD044B"/>
    <w:rsid w:val="00BF2EDB"/>
    <w:rsid w:val="00C00048"/>
    <w:rsid w:val="00C14AA2"/>
    <w:rsid w:val="00C15F23"/>
    <w:rsid w:val="00C3689E"/>
    <w:rsid w:val="00C502F2"/>
    <w:rsid w:val="00C82D3E"/>
    <w:rsid w:val="00C96A1C"/>
    <w:rsid w:val="00D84996"/>
    <w:rsid w:val="00D9683E"/>
    <w:rsid w:val="00DA208D"/>
    <w:rsid w:val="00DC6698"/>
    <w:rsid w:val="00DD4A78"/>
    <w:rsid w:val="00DD5B66"/>
    <w:rsid w:val="00DD5C6C"/>
    <w:rsid w:val="00DE2436"/>
    <w:rsid w:val="00DE77CC"/>
    <w:rsid w:val="00DF288C"/>
    <w:rsid w:val="00E00750"/>
    <w:rsid w:val="00E3696D"/>
    <w:rsid w:val="00E4211D"/>
    <w:rsid w:val="00E5235C"/>
    <w:rsid w:val="00E61DF2"/>
    <w:rsid w:val="00E67C2D"/>
    <w:rsid w:val="00E816D4"/>
    <w:rsid w:val="00E9717B"/>
    <w:rsid w:val="00EA4D25"/>
    <w:rsid w:val="00EC4AD0"/>
    <w:rsid w:val="00F3241B"/>
    <w:rsid w:val="00F430EC"/>
    <w:rsid w:val="00F86DD9"/>
    <w:rsid w:val="00F96BFC"/>
    <w:rsid w:val="00FA1516"/>
    <w:rsid w:val="00FA6C38"/>
    <w:rsid w:val="03573BC5"/>
    <w:rsid w:val="087A0714"/>
    <w:rsid w:val="090D0F93"/>
    <w:rsid w:val="0CAC3D17"/>
    <w:rsid w:val="0CC40CC0"/>
    <w:rsid w:val="0CC60DAD"/>
    <w:rsid w:val="0D04338B"/>
    <w:rsid w:val="0DCB6475"/>
    <w:rsid w:val="0DFA4E94"/>
    <w:rsid w:val="0E174F5B"/>
    <w:rsid w:val="0F1F68CD"/>
    <w:rsid w:val="11392639"/>
    <w:rsid w:val="1174340C"/>
    <w:rsid w:val="117A45E2"/>
    <w:rsid w:val="149777BC"/>
    <w:rsid w:val="14B93705"/>
    <w:rsid w:val="16716E1B"/>
    <w:rsid w:val="18542B44"/>
    <w:rsid w:val="19035CBF"/>
    <w:rsid w:val="1909243E"/>
    <w:rsid w:val="1C2C444C"/>
    <w:rsid w:val="1C9F0025"/>
    <w:rsid w:val="1CB353FE"/>
    <w:rsid w:val="1CF15AB1"/>
    <w:rsid w:val="1DB65A9D"/>
    <w:rsid w:val="1DD35AC6"/>
    <w:rsid w:val="1F3806E4"/>
    <w:rsid w:val="20B55BA6"/>
    <w:rsid w:val="214A2465"/>
    <w:rsid w:val="22981D72"/>
    <w:rsid w:val="23991D0A"/>
    <w:rsid w:val="244F0ABE"/>
    <w:rsid w:val="251A0FB9"/>
    <w:rsid w:val="25707D5D"/>
    <w:rsid w:val="265A2B26"/>
    <w:rsid w:val="27544C3D"/>
    <w:rsid w:val="27C93D01"/>
    <w:rsid w:val="286D1C39"/>
    <w:rsid w:val="28AD5E70"/>
    <w:rsid w:val="2B0F4BC8"/>
    <w:rsid w:val="2C7971AB"/>
    <w:rsid w:val="2E45721F"/>
    <w:rsid w:val="2EC51D41"/>
    <w:rsid w:val="31242D33"/>
    <w:rsid w:val="31826F3C"/>
    <w:rsid w:val="384C55D6"/>
    <w:rsid w:val="3A985D31"/>
    <w:rsid w:val="3C092B59"/>
    <w:rsid w:val="3CB02175"/>
    <w:rsid w:val="3D3D4161"/>
    <w:rsid w:val="3EF24D35"/>
    <w:rsid w:val="40CD5BDD"/>
    <w:rsid w:val="41326E0A"/>
    <w:rsid w:val="4269060A"/>
    <w:rsid w:val="42A137A9"/>
    <w:rsid w:val="440D66B8"/>
    <w:rsid w:val="44DA178F"/>
    <w:rsid w:val="456057D0"/>
    <w:rsid w:val="45715A4C"/>
    <w:rsid w:val="463B41FB"/>
    <w:rsid w:val="464F5C8F"/>
    <w:rsid w:val="46B03905"/>
    <w:rsid w:val="481011B6"/>
    <w:rsid w:val="49D01432"/>
    <w:rsid w:val="4A545700"/>
    <w:rsid w:val="4B9A1695"/>
    <w:rsid w:val="4C5C44C7"/>
    <w:rsid w:val="4CB71A10"/>
    <w:rsid w:val="50AB7D5C"/>
    <w:rsid w:val="53D72352"/>
    <w:rsid w:val="54556C40"/>
    <w:rsid w:val="54E12281"/>
    <w:rsid w:val="55704D4C"/>
    <w:rsid w:val="55990A2D"/>
    <w:rsid w:val="57925E7A"/>
    <w:rsid w:val="57A05456"/>
    <w:rsid w:val="58A2310D"/>
    <w:rsid w:val="5C481D58"/>
    <w:rsid w:val="5C696425"/>
    <w:rsid w:val="5CB80C98"/>
    <w:rsid w:val="5DD4125D"/>
    <w:rsid w:val="5EAA2487"/>
    <w:rsid w:val="5FBC5DC5"/>
    <w:rsid w:val="60420175"/>
    <w:rsid w:val="60803E1D"/>
    <w:rsid w:val="6094745B"/>
    <w:rsid w:val="61544475"/>
    <w:rsid w:val="65227237"/>
    <w:rsid w:val="69E94C8E"/>
    <w:rsid w:val="69EF1F64"/>
    <w:rsid w:val="6B5415A7"/>
    <w:rsid w:val="6BB568F7"/>
    <w:rsid w:val="6D8143B2"/>
    <w:rsid w:val="6DB4457F"/>
    <w:rsid w:val="6ECF178D"/>
    <w:rsid w:val="70262981"/>
    <w:rsid w:val="75B256C5"/>
    <w:rsid w:val="76912F20"/>
    <w:rsid w:val="7715608F"/>
    <w:rsid w:val="787B4078"/>
    <w:rsid w:val="78EF1F74"/>
    <w:rsid w:val="7A282224"/>
    <w:rsid w:val="7AEE5BA0"/>
    <w:rsid w:val="7B0B70AD"/>
    <w:rsid w:val="7D4F2AB7"/>
    <w:rsid w:val="7DD640CE"/>
    <w:rsid w:val="7EB35749"/>
    <w:rsid w:val="7FD53E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0"/>
    <w:pPr>
      <w:spacing w:line="533" w:lineRule="auto"/>
      <w:ind w:left="840" w:right="-12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Emphasis"/>
    <w:qFormat/>
    <w:uiPriority w:val="0"/>
    <w:rPr>
      <w:rFonts w:ascii="Arial" w:hAnsi="Arial"/>
      <w:b/>
      <w:spacing w:val="-10"/>
      <w:sz w:val="18"/>
      <w:lang w:eastAsia="zh-CN"/>
    </w:rPr>
  </w:style>
  <w:style w:type="character" w:customStyle="1" w:styleId="13">
    <w:name w:val="正文文本 字符"/>
    <w:basedOn w:val="10"/>
    <w:link w:val="3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4">
    <w:name w:val="消息标题标签"/>
    <w:qFormat/>
    <w:uiPriority w:val="0"/>
    <w:rPr>
      <w:rFonts w:ascii="Arial" w:hAnsi="Arial"/>
      <w:b/>
      <w:spacing w:val="-4"/>
      <w:sz w:val="18"/>
      <w:lang w:eastAsia="zh-CN"/>
    </w:rPr>
  </w:style>
  <w:style w:type="paragraph" w:customStyle="1" w:styleId="15">
    <w:name w:val="传真标题"/>
    <w:basedOn w:val="1"/>
    <w:qFormat/>
    <w:uiPriority w:val="0"/>
    <w:pPr>
      <w:spacing w:before="240" w:after="60"/>
    </w:pPr>
  </w:style>
  <w:style w:type="paragraph" w:customStyle="1" w:styleId="16">
    <w:name w:val="文档标签"/>
    <w:next w:val="1"/>
    <w:qFormat/>
    <w:uiPriority w:val="0"/>
    <w:pPr>
      <w:spacing w:before="100" w:after="720" w:line="600" w:lineRule="exact"/>
      <w:ind w:left="840"/>
    </w:pPr>
    <w:rPr>
      <w:rFonts w:ascii="Times New Roman" w:hAnsi="Times New Roman" w:eastAsia="宋体" w:cs="Times New Roman"/>
      <w:spacing w:val="-34"/>
      <w:sz w:val="60"/>
      <w:lang w:val="en-US" w:eastAsia="zh-CN" w:bidi="ar-SA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8">
    <w:name w:val="页眉 字符"/>
    <w:basedOn w:val="10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9">
    <w:name w:val="页脚 字符"/>
    <w:basedOn w:val="10"/>
    <w:link w:val="5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标题 2 字符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22">
    <w:name w:val="font41"/>
    <w:basedOn w:val="10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3">
    <w:name w:val="font21"/>
    <w:basedOn w:val="10"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</w:rPr>
  </w:style>
  <w:style w:type="character" w:customStyle="1" w:styleId="24">
    <w:name w:val="font11"/>
    <w:basedOn w:val="10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25">
    <w:name w:val="font31"/>
    <w:basedOn w:val="10"/>
    <w:qFormat/>
    <w:uiPriority w:val="0"/>
    <w:rPr>
      <w:rFonts w:hint="default" w:ascii="Arial Narrow" w:hAnsi="Arial Narrow" w:eastAsia="Arial Narrow" w:cs="Arial Narrow"/>
      <w:color w:val="FF0000"/>
      <w:sz w:val="22"/>
      <w:szCs w:val="22"/>
      <w:u w:val="none"/>
    </w:rPr>
  </w:style>
  <w:style w:type="table" w:customStyle="1" w:styleId="26">
    <w:name w:val="网格型1"/>
    <w:basedOn w:val="8"/>
    <w:qFormat/>
    <w:uiPriority w:val="59"/>
    <w:pPr>
      <w:spacing w:after="160" w:line="259" w:lineRule="auto"/>
    </w:pPr>
    <w:rPr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8AE664-1EED-45F0-94B5-7AC853D069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1535</Words>
  <Characters>2130</Characters>
  <Lines>19</Lines>
  <Paragraphs>5</Paragraphs>
  <TotalTime>2</TotalTime>
  <ScaleCrop>false</ScaleCrop>
  <LinksUpToDate>false</LinksUpToDate>
  <CharactersWithSpaces>2312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2021-04-02T01:13:00Z</dcterms:created>
  <dc:creator>微软用户</dc:creator>
  <cp:lastModifiedBy>L〜m</cp:lastModifiedBy>
  <cp:lastPrinted>2020-09-24T08:21:00Z</cp:lastPrinted>
  <dcterms:modified xsi:type="dcterms:W3CDTF">2025-06-28T07:54:26Z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2B60BEA523174119AD1D08898D14C820_13</vt:lpwstr>
  </property>
  <property fmtid="{D5CDD505-2E9C-101B-9397-08002B2CF9AE}" pid="4" name="KSOTemplateDocerSaveRecord">
    <vt:lpwstr>eyJoZGlkIjoiZjg3NDg3MmIwZmM5OWE1OThhNDJjY2VlNGZjMTkxNTAiLCJ1c2VySWQiOiI0NjI3NzE4NDcifQ==</vt:lpwstr>
  </property>
</Properties>
</file>